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5636" w:rsidRPr="005E03B9" w:rsidRDefault="00E71204" w:rsidP="00E71204">
      <w:pPr>
        <w:spacing w:line="288" w:lineRule="auto"/>
        <w:jc w:val="right"/>
        <w:rPr>
          <w:rFonts w:ascii="Arial" w:hAnsi="Arial" w:cs="Arial"/>
          <w:szCs w:val="24"/>
        </w:rPr>
      </w:pPr>
      <w:bookmarkStart w:id="0" w:name="_GoBack"/>
      <w:bookmarkEnd w:id="0"/>
      <w:r w:rsidRPr="005E03B9">
        <w:rPr>
          <w:rFonts w:ascii="Arial" w:hAnsi="Arial" w:cs="Arial"/>
          <w:szCs w:val="24"/>
        </w:rPr>
        <w:t>Racibórz, dnia 26.02.2014r.</w:t>
      </w:r>
    </w:p>
    <w:p w:rsidR="00E71204" w:rsidRDefault="00E71204" w:rsidP="00D85636">
      <w:pPr>
        <w:spacing w:line="288" w:lineRule="auto"/>
        <w:rPr>
          <w:rFonts w:ascii="Arial" w:hAnsi="Arial" w:cs="Arial"/>
          <w:b/>
          <w:szCs w:val="24"/>
        </w:rPr>
      </w:pPr>
    </w:p>
    <w:p w:rsidR="005E03B9" w:rsidRPr="005E03B9" w:rsidRDefault="005E03B9" w:rsidP="00D85636">
      <w:pPr>
        <w:spacing w:line="288" w:lineRule="auto"/>
        <w:rPr>
          <w:rFonts w:ascii="Arial" w:hAnsi="Arial" w:cs="Arial"/>
          <w:b/>
          <w:szCs w:val="24"/>
        </w:rPr>
      </w:pPr>
    </w:p>
    <w:p w:rsidR="00E71204" w:rsidRPr="005E03B9" w:rsidRDefault="00D85636" w:rsidP="00E71204">
      <w:pPr>
        <w:spacing w:line="288" w:lineRule="auto"/>
        <w:jc w:val="center"/>
        <w:rPr>
          <w:rFonts w:ascii="Arial" w:hAnsi="Arial" w:cs="Arial"/>
          <w:b/>
          <w:szCs w:val="24"/>
        </w:rPr>
      </w:pPr>
      <w:r w:rsidRPr="005E03B9">
        <w:rPr>
          <w:rFonts w:ascii="Arial" w:hAnsi="Arial" w:cs="Arial"/>
          <w:b/>
          <w:szCs w:val="24"/>
        </w:rPr>
        <w:t>I</w:t>
      </w:r>
      <w:r w:rsidR="00E71204" w:rsidRPr="005E03B9">
        <w:rPr>
          <w:rFonts w:ascii="Arial" w:hAnsi="Arial" w:cs="Arial"/>
          <w:b/>
          <w:szCs w:val="24"/>
        </w:rPr>
        <w:t>nformacja</w:t>
      </w:r>
      <w:r w:rsidRPr="005E03B9">
        <w:rPr>
          <w:rFonts w:ascii="Arial" w:hAnsi="Arial" w:cs="Arial"/>
          <w:b/>
          <w:szCs w:val="24"/>
        </w:rPr>
        <w:t xml:space="preserve"> o działaniach komórek organizacyjnych</w:t>
      </w:r>
      <w:r w:rsidR="00E71204" w:rsidRPr="005E03B9">
        <w:rPr>
          <w:rFonts w:ascii="Arial" w:hAnsi="Arial" w:cs="Arial"/>
          <w:b/>
          <w:szCs w:val="24"/>
        </w:rPr>
        <w:t xml:space="preserve"> </w:t>
      </w:r>
    </w:p>
    <w:p w:rsidR="00D85636" w:rsidRPr="005E03B9" w:rsidRDefault="00D85636" w:rsidP="00E71204">
      <w:pPr>
        <w:spacing w:line="288" w:lineRule="auto"/>
        <w:jc w:val="center"/>
        <w:rPr>
          <w:rFonts w:ascii="Arial" w:hAnsi="Arial" w:cs="Arial"/>
          <w:b/>
          <w:szCs w:val="24"/>
        </w:rPr>
      </w:pPr>
      <w:r w:rsidRPr="005E03B9">
        <w:rPr>
          <w:rFonts w:ascii="Arial" w:hAnsi="Arial" w:cs="Arial"/>
          <w:b/>
          <w:szCs w:val="24"/>
        </w:rPr>
        <w:t>Starostwa Powiatowego w Raciborzu w 2013 roku</w:t>
      </w:r>
    </w:p>
    <w:p w:rsidR="00E71204" w:rsidRDefault="00E71204" w:rsidP="00E71204">
      <w:pPr>
        <w:spacing w:line="288" w:lineRule="auto"/>
        <w:rPr>
          <w:rFonts w:ascii="Arial" w:hAnsi="Arial" w:cs="Arial"/>
          <w:szCs w:val="24"/>
        </w:rPr>
      </w:pPr>
    </w:p>
    <w:p w:rsidR="005E03B9" w:rsidRPr="005E03B9" w:rsidRDefault="005E03B9" w:rsidP="00E71204">
      <w:pPr>
        <w:spacing w:line="288" w:lineRule="auto"/>
        <w:rPr>
          <w:rFonts w:ascii="Arial" w:hAnsi="Arial" w:cs="Arial"/>
          <w:szCs w:val="24"/>
        </w:rPr>
      </w:pPr>
    </w:p>
    <w:p w:rsidR="00D85636" w:rsidRPr="005E03B9" w:rsidRDefault="00D85636" w:rsidP="005E03B9">
      <w:pPr>
        <w:spacing w:line="288" w:lineRule="auto"/>
        <w:ind w:firstLine="708"/>
        <w:jc w:val="both"/>
        <w:rPr>
          <w:rFonts w:ascii="Arial" w:hAnsi="Arial" w:cs="Arial"/>
          <w:szCs w:val="24"/>
        </w:rPr>
      </w:pPr>
      <w:r w:rsidRPr="005E03B9">
        <w:rPr>
          <w:rFonts w:ascii="Arial" w:hAnsi="Arial" w:cs="Arial"/>
          <w:szCs w:val="24"/>
        </w:rPr>
        <w:t xml:space="preserve">W 2013 roku w Starostwie Powiatowym w Raciborzu wydano łącznie </w:t>
      </w:r>
      <w:r w:rsidR="00805597" w:rsidRPr="005E03B9">
        <w:rPr>
          <w:rFonts w:ascii="Arial" w:hAnsi="Arial" w:cs="Arial"/>
          <w:b/>
          <w:szCs w:val="24"/>
        </w:rPr>
        <w:t>31009</w:t>
      </w:r>
      <w:r w:rsidRPr="005E03B9">
        <w:rPr>
          <w:rFonts w:ascii="Arial" w:hAnsi="Arial" w:cs="Arial"/>
          <w:szCs w:val="24"/>
        </w:rPr>
        <w:t xml:space="preserve"> </w:t>
      </w:r>
      <w:r w:rsidRPr="005E03B9">
        <w:rPr>
          <w:rFonts w:ascii="Arial" w:hAnsi="Arial" w:cs="Arial"/>
          <w:b/>
          <w:szCs w:val="24"/>
        </w:rPr>
        <w:t>decyzj</w:t>
      </w:r>
      <w:r w:rsidR="00805597" w:rsidRPr="005E03B9">
        <w:rPr>
          <w:rFonts w:ascii="Arial" w:hAnsi="Arial" w:cs="Arial"/>
          <w:b/>
          <w:szCs w:val="24"/>
        </w:rPr>
        <w:t>i</w:t>
      </w:r>
      <w:r w:rsidRPr="005E03B9">
        <w:rPr>
          <w:rFonts w:ascii="Arial" w:hAnsi="Arial" w:cs="Arial"/>
          <w:b/>
          <w:szCs w:val="24"/>
        </w:rPr>
        <w:t xml:space="preserve"> administracyjn</w:t>
      </w:r>
      <w:r w:rsidR="00805597" w:rsidRPr="005E03B9">
        <w:rPr>
          <w:rFonts w:ascii="Arial" w:hAnsi="Arial" w:cs="Arial"/>
          <w:b/>
          <w:szCs w:val="24"/>
        </w:rPr>
        <w:t>ych</w:t>
      </w:r>
      <w:r w:rsidRPr="005E03B9">
        <w:rPr>
          <w:rFonts w:ascii="Arial" w:hAnsi="Arial" w:cs="Arial"/>
          <w:szCs w:val="24"/>
        </w:rPr>
        <w:t xml:space="preserve">, wniesiono  </w:t>
      </w:r>
      <w:r w:rsidR="00805597" w:rsidRPr="005E03B9">
        <w:rPr>
          <w:rFonts w:ascii="Arial" w:hAnsi="Arial" w:cs="Arial"/>
          <w:szCs w:val="24"/>
        </w:rPr>
        <w:t xml:space="preserve">41 </w:t>
      </w:r>
      <w:proofErr w:type="spellStart"/>
      <w:r w:rsidRPr="005E03B9">
        <w:rPr>
          <w:rFonts w:ascii="Arial" w:hAnsi="Arial" w:cs="Arial"/>
          <w:szCs w:val="24"/>
        </w:rPr>
        <w:t>odwołań</w:t>
      </w:r>
      <w:proofErr w:type="spellEnd"/>
      <w:r w:rsidRPr="005E03B9">
        <w:rPr>
          <w:rFonts w:ascii="Arial" w:hAnsi="Arial" w:cs="Arial"/>
          <w:szCs w:val="24"/>
        </w:rPr>
        <w:t xml:space="preserve"> od decyzji</w:t>
      </w:r>
      <w:r w:rsidR="00805597" w:rsidRPr="005E03B9">
        <w:rPr>
          <w:rFonts w:ascii="Arial" w:hAnsi="Arial" w:cs="Arial"/>
          <w:szCs w:val="24"/>
        </w:rPr>
        <w:t>, a</w:t>
      </w:r>
      <w:r w:rsidRPr="005E03B9">
        <w:rPr>
          <w:rFonts w:ascii="Arial" w:hAnsi="Arial" w:cs="Arial"/>
          <w:szCs w:val="24"/>
        </w:rPr>
        <w:t xml:space="preserve"> uchylono </w:t>
      </w:r>
      <w:r w:rsidR="00805597" w:rsidRPr="005E03B9">
        <w:rPr>
          <w:rFonts w:ascii="Arial" w:hAnsi="Arial" w:cs="Arial"/>
          <w:szCs w:val="24"/>
        </w:rPr>
        <w:t>11 decyzji</w:t>
      </w:r>
      <w:r w:rsidRPr="005E03B9">
        <w:rPr>
          <w:rFonts w:ascii="Arial" w:hAnsi="Arial" w:cs="Arial"/>
          <w:szCs w:val="24"/>
        </w:rPr>
        <w:t xml:space="preserve">. </w:t>
      </w:r>
    </w:p>
    <w:p w:rsidR="00D85636" w:rsidRDefault="00D85636" w:rsidP="00D85636">
      <w:pPr>
        <w:spacing w:line="288" w:lineRule="auto"/>
        <w:jc w:val="both"/>
        <w:rPr>
          <w:rFonts w:ascii="Arial" w:hAnsi="Arial" w:cs="Arial"/>
          <w:szCs w:val="24"/>
        </w:rPr>
      </w:pPr>
    </w:p>
    <w:p w:rsidR="005E03B9" w:rsidRPr="005E03B9" w:rsidRDefault="005E03B9" w:rsidP="00D85636">
      <w:pPr>
        <w:spacing w:line="288" w:lineRule="auto"/>
        <w:jc w:val="both"/>
        <w:rPr>
          <w:rFonts w:ascii="Arial" w:hAnsi="Arial" w:cs="Arial"/>
          <w:szCs w:val="24"/>
        </w:rPr>
      </w:pPr>
    </w:p>
    <w:p w:rsidR="00D85636" w:rsidRDefault="00D85636" w:rsidP="005E03B9">
      <w:pPr>
        <w:spacing w:line="288" w:lineRule="auto"/>
        <w:ind w:firstLine="708"/>
        <w:jc w:val="both"/>
        <w:rPr>
          <w:rFonts w:ascii="Arial" w:hAnsi="Arial" w:cs="Arial"/>
          <w:szCs w:val="24"/>
        </w:rPr>
      </w:pPr>
      <w:r w:rsidRPr="005E03B9">
        <w:rPr>
          <w:rFonts w:ascii="Arial" w:hAnsi="Arial" w:cs="Arial"/>
          <w:szCs w:val="24"/>
        </w:rPr>
        <w:t>Zestawienie ilościowe decyzji, postanowień i zaświadczeń wydanych przez poszczególne komórki organizacyjne Starostwa Powiatowego w Raciborzu w</w:t>
      </w:r>
      <w:r w:rsidR="00805597" w:rsidRPr="005E03B9">
        <w:rPr>
          <w:rFonts w:ascii="Arial" w:hAnsi="Arial" w:cs="Arial"/>
          <w:szCs w:val="24"/>
        </w:rPr>
        <w:t xml:space="preserve"> </w:t>
      </w:r>
      <w:r w:rsidRPr="005E03B9">
        <w:rPr>
          <w:rFonts w:ascii="Arial" w:hAnsi="Arial" w:cs="Arial"/>
          <w:szCs w:val="24"/>
        </w:rPr>
        <w:t>2013 roku przedstawia się następująco:</w:t>
      </w:r>
    </w:p>
    <w:p w:rsidR="005E03B9" w:rsidRPr="005E03B9" w:rsidRDefault="005E03B9" w:rsidP="00D85636">
      <w:pPr>
        <w:spacing w:line="288" w:lineRule="auto"/>
        <w:jc w:val="both"/>
        <w:rPr>
          <w:rFonts w:ascii="Arial" w:hAnsi="Arial" w:cs="Arial"/>
          <w:szCs w:val="24"/>
        </w:rPr>
      </w:pPr>
    </w:p>
    <w:p w:rsidR="00E71204" w:rsidRPr="006E7B11" w:rsidRDefault="00E71204" w:rsidP="00D85636">
      <w:pPr>
        <w:spacing w:line="288" w:lineRule="auto"/>
        <w:jc w:val="both"/>
        <w:rPr>
          <w:rFonts w:ascii="Arial" w:hAnsi="Arial" w:cs="Arial"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23"/>
        <w:gridCol w:w="1107"/>
        <w:gridCol w:w="1057"/>
        <w:gridCol w:w="817"/>
        <w:gridCol w:w="926"/>
        <w:gridCol w:w="747"/>
        <w:gridCol w:w="827"/>
        <w:gridCol w:w="937"/>
        <w:gridCol w:w="847"/>
      </w:tblGrid>
      <w:tr w:rsidR="00D85636" w:rsidRPr="005E03B9" w:rsidTr="00296E44">
        <w:trPr>
          <w:trHeight w:val="315"/>
          <w:jc w:val="center"/>
        </w:trPr>
        <w:tc>
          <w:tcPr>
            <w:tcW w:w="23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 xml:space="preserve">Komórka organizacyjna </w:t>
            </w:r>
          </w:p>
        </w:tc>
        <w:tc>
          <w:tcPr>
            <w:tcW w:w="9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 xml:space="preserve">Decyzje </w:t>
            </w:r>
          </w:p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E03B9">
              <w:rPr>
                <w:rFonts w:ascii="Arial" w:hAnsi="Arial" w:cs="Arial"/>
                <w:sz w:val="18"/>
                <w:szCs w:val="18"/>
              </w:rPr>
              <w:t>administra-cyjne</w:t>
            </w:r>
            <w:proofErr w:type="spellEnd"/>
          </w:p>
        </w:tc>
        <w:tc>
          <w:tcPr>
            <w:tcW w:w="9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 xml:space="preserve">Wniesiono </w:t>
            </w:r>
            <w:proofErr w:type="spellStart"/>
            <w:r w:rsidRPr="005E03B9">
              <w:rPr>
                <w:rFonts w:ascii="Arial" w:hAnsi="Arial" w:cs="Arial"/>
                <w:sz w:val="18"/>
                <w:szCs w:val="18"/>
              </w:rPr>
              <w:t>odwołań</w:t>
            </w:r>
            <w:proofErr w:type="spellEnd"/>
          </w:p>
        </w:tc>
        <w:tc>
          <w:tcPr>
            <w:tcW w:w="7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Zmiana własna</w:t>
            </w:r>
          </w:p>
        </w:tc>
        <w:tc>
          <w:tcPr>
            <w:tcW w:w="23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 xml:space="preserve">Organ odwoławczy </w:t>
            </w:r>
          </w:p>
        </w:tc>
        <w:tc>
          <w:tcPr>
            <w:tcW w:w="8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Postano-</w:t>
            </w:r>
            <w:proofErr w:type="spellStart"/>
            <w:r w:rsidRPr="005E03B9">
              <w:rPr>
                <w:rFonts w:ascii="Arial" w:hAnsi="Arial" w:cs="Arial"/>
                <w:sz w:val="18"/>
                <w:szCs w:val="18"/>
              </w:rPr>
              <w:t>wienia</w:t>
            </w:r>
            <w:proofErr w:type="spellEnd"/>
          </w:p>
        </w:tc>
        <w:tc>
          <w:tcPr>
            <w:tcW w:w="7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E03B9">
              <w:rPr>
                <w:rFonts w:ascii="Arial" w:hAnsi="Arial" w:cs="Arial"/>
                <w:sz w:val="18"/>
                <w:szCs w:val="18"/>
              </w:rPr>
              <w:t>Zaświa-dczenia</w:t>
            </w:r>
            <w:proofErr w:type="spellEnd"/>
          </w:p>
        </w:tc>
      </w:tr>
      <w:tr w:rsidR="00D85636" w:rsidRPr="005E03B9" w:rsidTr="00296E44">
        <w:trPr>
          <w:trHeight w:val="547"/>
          <w:jc w:val="center"/>
        </w:trPr>
        <w:tc>
          <w:tcPr>
            <w:tcW w:w="23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Utrzymał w mocy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Uchylił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Sprawa w toku</w:t>
            </w:r>
          </w:p>
        </w:tc>
        <w:tc>
          <w:tcPr>
            <w:tcW w:w="8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85636" w:rsidRPr="005E03B9" w:rsidTr="00296E44">
        <w:trPr>
          <w:trHeight w:val="241"/>
          <w:jc w:val="center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Wydział Geodezji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05597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2397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05597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D2C2E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05597" w:rsidP="00D856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58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05597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208</w:t>
            </w:r>
          </w:p>
        </w:tc>
      </w:tr>
      <w:tr w:rsidR="00D85636" w:rsidRPr="005E03B9" w:rsidTr="00296E44">
        <w:trPr>
          <w:trHeight w:val="347"/>
          <w:jc w:val="center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 xml:space="preserve">Wydział Komunikacji </w:t>
            </w:r>
            <w:r w:rsidRPr="005E03B9">
              <w:rPr>
                <w:rFonts w:ascii="Arial" w:hAnsi="Arial" w:cs="Arial"/>
                <w:sz w:val="18"/>
                <w:szCs w:val="18"/>
              </w:rPr>
              <w:br/>
              <w:t>i Transportu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05597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26636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05597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D2C2E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05597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05597" w:rsidP="00805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D2C2E" w:rsidP="00805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1</w:t>
            </w:r>
            <w:r w:rsidR="00805597" w:rsidRPr="005E03B9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D2C2E" w:rsidP="00805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2</w:t>
            </w:r>
            <w:r w:rsidR="00805597" w:rsidRPr="005E03B9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05597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104</w:t>
            </w:r>
          </w:p>
        </w:tc>
      </w:tr>
      <w:tr w:rsidR="00D85636" w:rsidRPr="005E03B9" w:rsidTr="00296E44">
        <w:trPr>
          <w:trHeight w:val="344"/>
          <w:jc w:val="center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 xml:space="preserve">Referat Architektury </w:t>
            </w:r>
            <w:r w:rsidRPr="005E03B9">
              <w:rPr>
                <w:rFonts w:ascii="Arial" w:hAnsi="Arial" w:cs="Arial"/>
                <w:sz w:val="18"/>
                <w:szCs w:val="18"/>
              </w:rPr>
              <w:br/>
              <w:t>i Budownictwa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05597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995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05597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D2C2E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D2C2E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05597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05597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05597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450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D2C2E" w:rsidP="008055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1</w:t>
            </w:r>
            <w:r w:rsidR="00805597" w:rsidRPr="005E03B9">
              <w:rPr>
                <w:rFonts w:ascii="Arial" w:hAnsi="Arial" w:cs="Arial"/>
                <w:sz w:val="18"/>
                <w:szCs w:val="18"/>
              </w:rPr>
              <w:t>35</w:t>
            </w:r>
          </w:p>
        </w:tc>
      </w:tr>
      <w:tr w:rsidR="00D85636" w:rsidRPr="005E03B9" w:rsidTr="00296E44">
        <w:trPr>
          <w:trHeight w:val="535"/>
          <w:jc w:val="center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 xml:space="preserve">Referat Ochrony Środowiska, Gospodarki Wodnej </w:t>
            </w:r>
            <w:r w:rsidRPr="005E03B9">
              <w:rPr>
                <w:rFonts w:ascii="Arial" w:hAnsi="Arial" w:cs="Arial"/>
                <w:sz w:val="18"/>
                <w:szCs w:val="18"/>
              </w:rPr>
              <w:br/>
              <w:t>i Rolnictwa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05597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256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05597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D2C2E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D2C2E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05597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53C69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53C69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41</w:t>
            </w:r>
          </w:p>
        </w:tc>
      </w:tr>
      <w:tr w:rsidR="00D85636" w:rsidRPr="005E03B9" w:rsidTr="00296E44">
        <w:trPr>
          <w:trHeight w:val="363"/>
          <w:jc w:val="center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 xml:space="preserve">Referat Gospodarki Nieruchomościami 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D53C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1</w:t>
            </w:r>
            <w:r w:rsidR="00D53C69" w:rsidRPr="005E03B9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D2C2E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D2C2E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D2C2E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D2C2E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53C69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53C69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D85636" w:rsidRPr="005E03B9" w:rsidTr="00296E44">
        <w:trPr>
          <w:trHeight w:val="345"/>
          <w:jc w:val="center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 xml:space="preserve">Referat Edukacji, Kultury </w:t>
            </w:r>
            <w:r w:rsidRPr="005E03B9">
              <w:rPr>
                <w:rFonts w:ascii="Arial" w:hAnsi="Arial" w:cs="Arial"/>
                <w:sz w:val="18"/>
                <w:szCs w:val="18"/>
              </w:rPr>
              <w:br/>
              <w:t>i Sportu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4</w:t>
            </w:r>
            <w:r w:rsidR="00D53C69" w:rsidRPr="005E03B9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D2C2E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D2C2E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D2C2E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D2C2E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D2C2E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53C69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106</w:t>
            </w:r>
          </w:p>
        </w:tc>
      </w:tr>
      <w:tr w:rsidR="00D85636" w:rsidRPr="005E03B9" w:rsidTr="00296E44">
        <w:trPr>
          <w:trHeight w:val="345"/>
          <w:jc w:val="center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Wydział Organizacyjny i Spraw Obywatelskich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53C69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663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D2C2E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D2C2E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D2C2E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53C69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D2C2E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D2C2E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D2C2E" w:rsidP="00296E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03B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D85636" w:rsidRPr="005E03B9" w:rsidTr="00296E44">
        <w:trPr>
          <w:trHeight w:val="411"/>
          <w:jc w:val="center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E03B9">
              <w:rPr>
                <w:rFonts w:ascii="Arial" w:hAnsi="Arial" w:cs="Arial"/>
                <w:b/>
                <w:sz w:val="18"/>
                <w:szCs w:val="18"/>
              </w:rPr>
              <w:t>RAZEM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53C69" w:rsidP="00296E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E03B9">
              <w:rPr>
                <w:rFonts w:ascii="Arial" w:hAnsi="Arial" w:cs="Arial"/>
                <w:b/>
                <w:sz w:val="18"/>
                <w:szCs w:val="18"/>
              </w:rPr>
              <w:t>31.009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53C69" w:rsidP="00296E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E03B9">
              <w:rPr>
                <w:rFonts w:ascii="Arial" w:hAnsi="Arial" w:cs="Arial"/>
                <w:b/>
                <w:sz w:val="18"/>
                <w:szCs w:val="18"/>
              </w:rPr>
              <w:t>41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53C69" w:rsidP="00296E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E03B9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53C69" w:rsidP="00296E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E03B9">
              <w:rPr>
                <w:rFonts w:ascii="Arial" w:hAnsi="Arial" w:cs="Arial"/>
                <w:b/>
                <w:sz w:val="18"/>
                <w:szCs w:val="18"/>
              </w:rPr>
              <w:t>24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53C69" w:rsidP="00296E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E03B9">
              <w:rPr>
                <w:rFonts w:ascii="Arial" w:hAnsi="Arial" w:cs="Arial"/>
                <w:b/>
                <w:sz w:val="18"/>
                <w:szCs w:val="18"/>
              </w:rPr>
              <w:t>11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8D2C2E" w:rsidP="00D53C6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E03B9"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D53C69" w:rsidRPr="005E03B9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53C69" w:rsidP="00296E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E03B9">
              <w:rPr>
                <w:rFonts w:ascii="Arial" w:hAnsi="Arial" w:cs="Arial"/>
                <w:b/>
                <w:sz w:val="18"/>
                <w:szCs w:val="18"/>
              </w:rPr>
              <w:t>561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53C69" w:rsidP="00296E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E03B9">
              <w:rPr>
                <w:rFonts w:ascii="Arial" w:hAnsi="Arial" w:cs="Arial"/>
                <w:b/>
                <w:sz w:val="18"/>
                <w:szCs w:val="18"/>
              </w:rPr>
              <w:t>599</w:t>
            </w:r>
          </w:p>
        </w:tc>
      </w:tr>
    </w:tbl>
    <w:p w:rsidR="00E71204" w:rsidRPr="005E03B9" w:rsidRDefault="00E71204" w:rsidP="00D85636">
      <w:pPr>
        <w:spacing w:line="288" w:lineRule="auto"/>
        <w:jc w:val="both"/>
        <w:rPr>
          <w:rFonts w:ascii="Arial" w:hAnsi="Arial" w:cs="Arial"/>
          <w:szCs w:val="24"/>
        </w:rPr>
      </w:pPr>
    </w:p>
    <w:p w:rsidR="00D85636" w:rsidRPr="005E03B9" w:rsidRDefault="00D85636" w:rsidP="00D85636">
      <w:pPr>
        <w:spacing w:line="288" w:lineRule="auto"/>
        <w:jc w:val="both"/>
        <w:rPr>
          <w:rFonts w:ascii="Arial" w:hAnsi="Arial" w:cs="Arial"/>
          <w:szCs w:val="24"/>
        </w:rPr>
      </w:pPr>
      <w:r w:rsidRPr="005E03B9">
        <w:rPr>
          <w:rFonts w:ascii="Arial" w:hAnsi="Arial" w:cs="Arial"/>
          <w:szCs w:val="24"/>
        </w:rPr>
        <w:t>W stosunku do lat poprzednich ilość wydanych decyzji administracyjnych oraz ilość uchylonych w  przedstawia się następująco:</w:t>
      </w:r>
    </w:p>
    <w:p w:rsidR="00E71204" w:rsidRPr="006E7B11" w:rsidRDefault="00E71204" w:rsidP="00D85636">
      <w:pPr>
        <w:spacing w:line="288" w:lineRule="auto"/>
        <w:jc w:val="both"/>
        <w:rPr>
          <w:rFonts w:ascii="Arial" w:hAnsi="Arial" w:cs="Arial"/>
          <w:sz w:val="16"/>
          <w:szCs w:val="16"/>
        </w:rPr>
      </w:pPr>
    </w:p>
    <w:tbl>
      <w:tblPr>
        <w:tblW w:w="5718" w:type="pct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042"/>
        <w:gridCol w:w="710"/>
        <w:gridCol w:w="710"/>
        <w:gridCol w:w="992"/>
        <w:gridCol w:w="1134"/>
        <w:gridCol w:w="850"/>
        <w:gridCol w:w="992"/>
        <w:gridCol w:w="850"/>
        <w:gridCol w:w="852"/>
        <w:gridCol w:w="850"/>
        <w:gridCol w:w="820"/>
        <w:gridCol w:w="820"/>
      </w:tblGrid>
      <w:tr w:rsidR="00D85636" w:rsidRPr="005E03B9" w:rsidTr="00D85636">
        <w:trPr>
          <w:trHeight w:val="427"/>
        </w:trPr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03B9">
              <w:rPr>
                <w:rFonts w:ascii="Arial" w:hAnsi="Arial" w:cs="Arial"/>
                <w:b/>
                <w:sz w:val="16"/>
                <w:szCs w:val="16"/>
              </w:rPr>
              <w:t>Rok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03B9">
              <w:rPr>
                <w:rFonts w:ascii="Arial" w:hAnsi="Arial" w:cs="Arial"/>
                <w:b/>
                <w:sz w:val="16"/>
                <w:szCs w:val="16"/>
              </w:rPr>
              <w:t>2003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03B9">
              <w:rPr>
                <w:rFonts w:ascii="Arial" w:hAnsi="Arial" w:cs="Arial"/>
                <w:b/>
                <w:sz w:val="16"/>
                <w:szCs w:val="16"/>
              </w:rPr>
              <w:t>2004</w:t>
            </w:r>
          </w:p>
        </w:tc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03B9">
              <w:rPr>
                <w:rFonts w:ascii="Arial" w:hAnsi="Arial" w:cs="Arial"/>
                <w:b/>
                <w:sz w:val="16"/>
                <w:szCs w:val="16"/>
              </w:rPr>
              <w:t>2005</w:t>
            </w: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03B9">
              <w:rPr>
                <w:rFonts w:ascii="Arial" w:hAnsi="Arial" w:cs="Arial"/>
                <w:b/>
                <w:sz w:val="16"/>
                <w:szCs w:val="16"/>
              </w:rPr>
              <w:t>2006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03B9">
              <w:rPr>
                <w:rFonts w:ascii="Arial" w:hAnsi="Arial" w:cs="Arial"/>
                <w:b/>
                <w:sz w:val="16"/>
                <w:szCs w:val="16"/>
              </w:rPr>
              <w:t>2007</w:t>
            </w:r>
          </w:p>
        </w:tc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03B9">
              <w:rPr>
                <w:rFonts w:ascii="Arial" w:hAnsi="Arial" w:cs="Arial"/>
                <w:b/>
                <w:sz w:val="16"/>
                <w:szCs w:val="16"/>
              </w:rPr>
              <w:t>2008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03B9">
              <w:rPr>
                <w:rFonts w:ascii="Arial" w:hAnsi="Arial" w:cs="Arial"/>
                <w:b/>
                <w:sz w:val="16"/>
                <w:szCs w:val="16"/>
              </w:rPr>
              <w:t>2009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D85636" w:rsidRPr="005E03B9" w:rsidRDefault="00D85636" w:rsidP="00296E4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03B9">
              <w:rPr>
                <w:rFonts w:ascii="Arial" w:hAnsi="Arial" w:cs="Arial"/>
                <w:b/>
                <w:sz w:val="16"/>
                <w:szCs w:val="16"/>
              </w:rPr>
              <w:t>2010</w:t>
            </w:r>
          </w:p>
          <w:p w:rsidR="00D85636" w:rsidRPr="005E03B9" w:rsidRDefault="00D85636" w:rsidP="00296E4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03B9">
              <w:rPr>
                <w:rFonts w:ascii="Arial" w:hAnsi="Arial" w:cs="Arial"/>
                <w:b/>
                <w:sz w:val="16"/>
                <w:szCs w:val="16"/>
              </w:rPr>
              <w:t>2011</w:t>
            </w:r>
          </w:p>
        </w:tc>
        <w:tc>
          <w:tcPr>
            <w:tcW w:w="386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D85636" w:rsidRPr="005E03B9" w:rsidRDefault="00D85636" w:rsidP="00296E4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03B9">
              <w:rPr>
                <w:rFonts w:ascii="Arial" w:hAnsi="Arial" w:cs="Arial"/>
                <w:b/>
                <w:sz w:val="16"/>
                <w:szCs w:val="16"/>
              </w:rPr>
              <w:t>2012</w:t>
            </w:r>
          </w:p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6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85636" w:rsidRPr="005E03B9" w:rsidRDefault="002C6A1D" w:rsidP="00296E4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03B9">
              <w:rPr>
                <w:rFonts w:ascii="Arial" w:hAnsi="Arial" w:cs="Arial"/>
                <w:b/>
                <w:sz w:val="16"/>
                <w:szCs w:val="16"/>
              </w:rPr>
              <w:t>2013r.</w:t>
            </w:r>
          </w:p>
        </w:tc>
      </w:tr>
      <w:tr w:rsidR="00D85636" w:rsidRPr="005E03B9" w:rsidTr="00D85636">
        <w:trPr>
          <w:trHeight w:val="458"/>
        </w:trPr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rPr>
                <w:rFonts w:ascii="Arial" w:hAnsi="Arial" w:cs="Arial"/>
                <w:sz w:val="16"/>
                <w:szCs w:val="16"/>
              </w:rPr>
            </w:pPr>
            <w:r w:rsidRPr="005E03B9">
              <w:rPr>
                <w:rFonts w:ascii="Arial" w:hAnsi="Arial" w:cs="Arial"/>
                <w:sz w:val="16"/>
                <w:szCs w:val="16"/>
              </w:rPr>
              <w:t xml:space="preserve">Ilość wydanych </w:t>
            </w:r>
          </w:p>
          <w:p w:rsidR="00D85636" w:rsidRPr="005E03B9" w:rsidRDefault="00D85636" w:rsidP="00296E44">
            <w:pPr>
              <w:rPr>
                <w:rFonts w:ascii="Arial" w:hAnsi="Arial" w:cs="Arial"/>
                <w:sz w:val="16"/>
                <w:szCs w:val="16"/>
              </w:rPr>
            </w:pPr>
            <w:r w:rsidRPr="005E03B9">
              <w:rPr>
                <w:rFonts w:ascii="Arial" w:hAnsi="Arial" w:cs="Arial"/>
                <w:sz w:val="16"/>
                <w:szCs w:val="16"/>
              </w:rPr>
              <w:t>decyzji adm.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03B9">
              <w:rPr>
                <w:rFonts w:ascii="Arial" w:hAnsi="Arial" w:cs="Arial"/>
                <w:sz w:val="16"/>
                <w:szCs w:val="16"/>
              </w:rPr>
              <w:t>13.576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03B9">
              <w:rPr>
                <w:rFonts w:ascii="Arial" w:hAnsi="Arial" w:cs="Arial"/>
                <w:sz w:val="16"/>
                <w:szCs w:val="16"/>
              </w:rPr>
              <w:t>26.421</w:t>
            </w:r>
          </w:p>
        </w:tc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03B9">
              <w:rPr>
                <w:rFonts w:ascii="Arial" w:hAnsi="Arial" w:cs="Arial"/>
                <w:sz w:val="16"/>
                <w:szCs w:val="16"/>
              </w:rPr>
              <w:t>15.793</w:t>
            </w: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03B9">
              <w:rPr>
                <w:rFonts w:ascii="Arial" w:hAnsi="Arial" w:cs="Arial"/>
                <w:sz w:val="16"/>
                <w:szCs w:val="16"/>
              </w:rPr>
              <w:t>18.227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03B9">
              <w:rPr>
                <w:rFonts w:ascii="Arial" w:hAnsi="Arial" w:cs="Arial"/>
                <w:sz w:val="16"/>
                <w:szCs w:val="16"/>
              </w:rPr>
              <w:t>23.979</w:t>
            </w:r>
          </w:p>
        </w:tc>
        <w:tc>
          <w:tcPr>
            <w:tcW w:w="467" w:type="pct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03B9">
              <w:rPr>
                <w:rFonts w:ascii="Arial" w:hAnsi="Arial" w:cs="Arial"/>
                <w:sz w:val="16"/>
                <w:szCs w:val="16"/>
              </w:rPr>
              <w:t>27.096</w:t>
            </w:r>
          </w:p>
        </w:tc>
        <w:tc>
          <w:tcPr>
            <w:tcW w:w="400" w:type="pct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03B9">
              <w:rPr>
                <w:rFonts w:ascii="Arial" w:hAnsi="Arial" w:cs="Arial"/>
                <w:sz w:val="16"/>
                <w:szCs w:val="16"/>
              </w:rPr>
              <w:t>26.924</w:t>
            </w:r>
          </w:p>
        </w:tc>
        <w:tc>
          <w:tcPr>
            <w:tcW w:w="401" w:type="pct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03B9">
              <w:rPr>
                <w:rFonts w:ascii="Arial" w:hAnsi="Arial" w:cs="Arial"/>
                <w:sz w:val="16"/>
                <w:szCs w:val="16"/>
              </w:rPr>
              <w:t>26.600</w:t>
            </w:r>
          </w:p>
        </w:tc>
        <w:tc>
          <w:tcPr>
            <w:tcW w:w="400" w:type="pct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03B9">
              <w:rPr>
                <w:rFonts w:ascii="Arial" w:hAnsi="Arial" w:cs="Arial"/>
                <w:sz w:val="16"/>
                <w:szCs w:val="16"/>
              </w:rPr>
              <w:t>30.346</w:t>
            </w:r>
          </w:p>
        </w:tc>
        <w:tc>
          <w:tcPr>
            <w:tcW w:w="386" w:type="pct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03B9">
              <w:rPr>
                <w:rFonts w:ascii="Arial" w:hAnsi="Arial" w:cs="Arial"/>
                <w:sz w:val="16"/>
                <w:szCs w:val="16"/>
              </w:rPr>
              <w:t>27.234</w:t>
            </w:r>
          </w:p>
        </w:tc>
        <w:tc>
          <w:tcPr>
            <w:tcW w:w="386" w:type="pct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85636" w:rsidRPr="005E03B9" w:rsidRDefault="00E71204" w:rsidP="00296E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03B9">
              <w:rPr>
                <w:rFonts w:ascii="Arial" w:hAnsi="Arial" w:cs="Arial"/>
                <w:sz w:val="16"/>
                <w:szCs w:val="16"/>
              </w:rPr>
              <w:t>31.009</w:t>
            </w:r>
          </w:p>
        </w:tc>
      </w:tr>
      <w:tr w:rsidR="00D85636" w:rsidRPr="005E03B9" w:rsidTr="00D85636">
        <w:trPr>
          <w:trHeight w:val="508"/>
        </w:trPr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rPr>
                <w:rFonts w:ascii="Arial" w:hAnsi="Arial" w:cs="Arial"/>
                <w:sz w:val="16"/>
                <w:szCs w:val="16"/>
              </w:rPr>
            </w:pPr>
            <w:r w:rsidRPr="005E03B9">
              <w:rPr>
                <w:rFonts w:ascii="Arial" w:hAnsi="Arial" w:cs="Arial"/>
                <w:sz w:val="16"/>
                <w:szCs w:val="16"/>
              </w:rPr>
              <w:t xml:space="preserve">Ilość uchylonych </w:t>
            </w:r>
          </w:p>
          <w:p w:rsidR="00D85636" w:rsidRPr="005E03B9" w:rsidRDefault="00D85636" w:rsidP="00D85636">
            <w:pPr>
              <w:rPr>
                <w:rFonts w:ascii="Arial" w:hAnsi="Arial" w:cs="Arial"/>
                <w:sz w:val="16"/>
                <w:szCs w:val="16"/>
              </w:rPr>
            </w:pPr>
            <w:r w:rsidRPr="005E03B9">
              <w:rPr>
                <w:rFonts w:ascii="Arial" w:hAnsi="Arial" w:cs="Arial"/>
                <w:sz w:val="16"/>
                <w:szCs w:val="16"/>
              </w:rPr>
              <w:t xml:space="preserve">decyzji adm. 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03B9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03B9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03B9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03B9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03B9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46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03B9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40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03B9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40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03B9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40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03B9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38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85636" w:rsidRPr="005E03B9" w:rsidRDefault="00D85636" w:rsidP="00296E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03B9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38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85636" w:rsidRPr="005E03B9" w:rsidRDefault="00E71204" w:rsidP="00296E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03B9">
              <w:rPr>
                <w:rFonts w:ascii="Arial" w:hAnsi="Arial" w:cs="Arial"/>
                <w:sz w:val="16"/>
                <w:szCs w:val="16"/>
              </w:rPr>
              <w:t>11</w:t>
            </w:r>
          </w:p>
        </w:tc>
      </w:tr>
    </w:tbl>
    <w:p w:rsidR="005E03B9" w:rsidRDefault="005E03B9" w:rsidP="00D85636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:rsidR="00CD4BC8" w:rsidRPr="005E03B9" w:rsidRDefault="00D85636" w:rsidP="00D85636">
      <w:pPr>
        <w:spacing w:line="288" w:lineRule="auto"/>
        <w:jc w:val="both"/>
        <w:rPr>
          <w:rFonts w:ascii="Arial" w:hAnsi="Arial" w:cs="Arial"/>
          <w:szCs w:val="24"/>
        </w:rPr>
      </w:pPr>
      <w:r w:rsidRPr="005E03B9">
        <w:rPr>
          <w:rFonts w:ascii="Arial" w:hAnsi="Arial" w:cs="Arial"/>
          <w:szCs w:val="24"/>
        </w:rPr>
        <w:lastRenderedPageBreak/>
        <w:t>Graficzne ujęcie zestawienia ilości wydanych i uchylonych w latach 2003-201</w:t>
      </w:r>
      <w:r w:rsidR="00805597" w:rsidRPr="005E03B9">
        <w:rPr>
          <w:rFonts w:ascii="Arial" w:hAnsi="Arial" w:cs="Arial"/>
          <w:szCs w:val="24"/>
        </w:rPr>
        <w:t>3</w:t>
      </w:r>
      <w:r w:rsidRPr="005E03B9">
        <w:rPr>
          <w:rFonts w:ascii="Arial" w:hAnsi="Arial" w:cs="Arial"/>
          <w:szCs w:val="24"/>
        </w:rPr>
        <w:t xml:space="preserve">r. decyzji przedstawia poniższy wykres. </w:t>
      </w:r>
    </w:p>
    <w:p w:rsidR="00D85636" w:rsidRDefault="00CD4BC8" w:rsidP="00D85636">
      <w:pPr>
        <w:spacing w:line="288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pl-PL"/>
        </w:rPr>
        <w:drawing>
          <wp:inline distT="0" distB="0" distL="0" distR="0" wp14:anchorId="00470A12" wp14:editId="405A0A30">
            <wp:extent cx="5724525" cy="2114550"/>
            <wp:effectExtent l="0" t="0" r="0" b="0"/>
            <wp:docPr id="10" name="Wykres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D97BF4" w:rsidRPr="005E03B9" w:rsidRDefault="00D97BF4" w:rsidP="00D97BF4">
      <w:pPr>
        <w:spacing w:line="288" w:lineRule="auto"/>
        <w:ind w:left="426"/>
        <w:rPr>
          <w:rFonts w:ascii="Arial" w:hAnsi="Arial" w:cs="Arial"/>
          <w:b/>
          <w:sz w:val="16"/>
          <w:szCs w:val="16"/>
        </w:rPr>
      </w:pPr>
    </w:p>
    <w:p w:rsidR="00F15455" w:rsidRPr="005E03B9" w:rsidRDefault="00D85636" w:rsidP="00F15455">
      <w:pPr>
        <w:numPr>
          <w:ilvl w:val="0"/>
          <w:numId w:val="1"/>
        </w:numPr>
        <w:spacing w:line="288" w:lineRule="auto"/>
        <w:ind w:left="426" w:hanging="426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W</w:t>
      </w:r>
      <w:r w:rsidR="005E03B9">
        <w:rPr>
          <w:rFonts w:ascii="Arial" w:hAnsi="Arial" w:cs="Arial"/>
          <w:b/>
          <w:szCs w:val="24"/>
        </w:rPr>
        <w:t>ydział Komunikacji i Transportu</w:t>
      </w:r>
    </w:p>
    <w:p w:rsidR="00F15455" w:rsidRDefault="00F15455" w:rsidP="00F15455">
      <w:pPr>
        <w:spacing w:line="288" w:lineRule="auto"/>
        <w:rPr>
          <w:rFonts w:ascii="Arial" w:hAnsi="Arial" w:cs="Arial"/>
          <w:b/>
          <w:szCs w:val="24"/>
        </w:rPr>
      </w:pPr>
      <w:r>
        <w:rPr>
          <w:i/>
          <w:noProof/>
          <w:lang w:eastAsia="pl-PL"/>
        </w:rPr>
        <w:drawing>
          <wp:anchor distT="0" distB="0" distL="114300" distR="114300" simplePos="0" relativeHeight="251664384" behindDoc="0" locked="0" layoutInCell="1" allowOverlap="1" wp14:anchorId="4E2E7A90" wp14:editId="6820CED6">
            <wp:simplePos x="0" y="0"/>
            <wp:positionH relativeFrom="column">
              <wp:posOffset>190500</wp:posOffset>
            </wp:positionH>
            <wp:positionV relativeFrom="paragraph">
              <wp:posOffset>186055</wp:posOffset>
            </wp:positionV>
            <wp:extent cx="4368800" cy="2256790"/>
            <wp:effectExtent l="0" t="0" r="12700" b="10160"/>
            <wp:wrapSquare wrapText="bothSides"/>
            <wp:docPr id="12" name="Wykres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15455" w:rsidRPr="009C19F7" w:rsidRDefault="00F15455" w:rsidP="00F15455">
      <w:pPr>
        <w:spacing w:line="288" w:lineRule="auto"/>
        <w:jc w:val="both"/>
        <w:rPr>
          <w:rFonts w:ascii="Arial" w:hAnsi="Arial" w:cs="Arial"/>
          <w:i/>
          <w:sz w:val="20"/>
          <w:szCs w:val="20"/>
        </w:rPr>
      </w:pPr>
    </w:p>
    <w:p w:rsidR="00F15455" w:rsidRPr="009C19F7" w:rsidRDefault="00F15455" w:rsidP="00F15455">
      <w:pPr>
        <w:spacing w:line="288" w:lineRule="auto"/>
        <w:jc w:val="both"/>
        <w:rPr>
          <w:rFonts w:ascii="Arial" w:hAnsi="Arial" w:cs="Arial"/>
          <w:i/>
          <w:sz w:val="20"/>
          <w:szCs w:val="20"/>
        </w:rPr>
      </w:pPr>
    </w:p>
    <w:p w:rsidR="00F15455" w:rsidRDefault="00F15455" w:rsidP="00F15455">
      <w:pPr>
        <w:spacing w:line="288" w:lineRule="auto"/>
        <w:rPr>
          <w:rFonts w:ascii="Arial" w:hAnsi="Arial" w:cs="Arial"/>
          <w:b/>
          <w:szCs w:val="24"/>
        </w:rPr>
      </w:pPr>
    </w:p>
    <w:p w:rsidR="00D85636" w:rsidRDefault="00D85636" w:rsidP="00D85636">
      <w:pPr>
        <w:spacing w:line="288" w:lineRule="auto"/>
        <w:jc w:val="both"/>
        <w:rPr>
          <w:rFonts w:ascii="Arial" w:hAnsi="Arial" w:cs="Arial"/>
          <w:i/>
          <w:sz w:val="20"/>
          <w:szCs w:val="20"/>
        </w:rPr>
      </w:pPr>
    </w:p>
    <w:p w:rsidR="00D85636" w:rsidRDefault="00D85636" w:rsidP="00D85636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:rsidR="00F15455" w:rsidRDefault="00F15455" w:rsidP="00D85636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:rsidR="00F15455" w:rsidRDefault="00F15455" w:rsidP="00D85636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:rsidR="00F15455" w:rsidRPr="00943B0B" w:rsidRDefault="00F15455" w:rsidP="00D85636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:rsidR="00D85636" w:rsidRDefault="00D85636" w:rsidP="00D85636">
      <w:pPr>
        <w:spacing w:line="288" w:lineRule="auto"/>
        <w:jc w:val="both"/>
        <w:rPr>
          <w:rFonts w:ascii="Arial" w:hAnsi="Arial" w:cs="Arial"/>
          <w:i/>
          <w:sz w:val="20"/>
          <w:szCs w:val="20"/>
        </w:rPr>
      </w:pPr>
    </w:p>
    <w:p w:rsidR="00F15455" w:rsidRDefault="00F15455" w:rsidP="00D85636">
      <w:pPr>
        <w:spacing w:line="288" w:lineRule="auto"/>
        <w:jc w:val="both"/>
        <w:rPr>
          <w:rFonts w:ascii="Arial" w:hAnsi="Arial" w:cs="Arial"/>
          <w:i/>
          <w:sz w:val="20"/>
          <w:szCs w:val="20"/>
        </w:rPr>
      </w:pPr>
    </w:p>
    <w:p w:rsidR="00F15455" w:rsidRDefault="00F15455" w:rsidP="00D85636">
      <w:pPr>
        <w:spacing w:line="288" w:lineRule="auto"/>
        <w:jc w:val="both"/>
        <w:rPr>
          <w:rFonts w:ascii="Arial" w:hAnsi="Arial" w:cs="Arial"/>
          <w:i/>
          <w:sz w:val="20"/>
          <w:szCs w:val="20"/>
        </w:rPr>
      </w:pPr>
    </w:p>
    <w:p w:rsidR="00F15455" w:rsidRDefault="00F15455" w:rsidP="00D85636">
      <w:pPr>
        <w:spacing w:line="288" w:lineRule="auto"/>
        <w:jc w:val="both"/>
        <w:rPr>
          <w:rFonts w:ascii="Arial" w:hAnsi="Arial" w:cs="Arial"/>
          <w:i/>
          <w:sz w:val="20"/>
          <w:szCs w:val="20"/>
        </w:rPr>
      </w:pPr>
    </w:p>
    <w:p w:rsidR="005D4751" w:rsidRPr="009C19F7" w:rsidRDefault="005D4751" w:rsidP="00D85636">
      <w:pPr>
        <w:spacing w:line="288" w:lineRule="auto"/>
        <w:jc w:val="both"/>
        <w:rPr>
          <w:rFonts w:ascii="Arial" w:hAnsi="Arial" w:cs="Arial"/>
          <w:i/>
          <w:sz w:val="20"/>
          <w:szCs w:val="20"/>
        </w:rPr>
      </w:pPr>
    </w:p>
    <w:p w:rsidR="00D85636" w:rsidRPr="005E03B9" w:rsidRDefault="00D85636" w:rsidP="00D85636">
      <w:pPr>
        <w:numPr>
          <w:ilvl w:val="0"/>
          <w:numId w:val="1"/>
        </w:numPr>
        <w:spacing w:line="288" w:lineRule="auto"/>
        <w:ind w:left="426" w:hanging="426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Wydział Geodezji.</w:t>
      </w:r>
    </w:p>
    <w:p w:rsidR="00D85636" w:rsidRDefault="00F15455" w:rsidP="00D85636">
      <w:pPr>
        <w:spacing w:line="288" w:lineRule="auto"/>
        <w:rPr>
          <w:rFonts w:ascii="Arial" w:hAnsi="Arial" w:cs="Arial"/>
          <w:b/>
          <w:szCs w:val="24"/>
        </w:rPr>
      </w:pPr>
      <w:r>
        <w:rPr>
          <w:rFonts w:ascii="Arial" w:hAnsi="Arial" w:cs="Arial"/>
          <w:noProof/>
          <w:sz w:val="20"/>
          <w:szCs w:val="20"/>
          <w:lang w:eastAsia="pl-PL"/>
        </w:rPr>
        <w:drawing>
          <wp:anchor distT="0" distB="0" distL="114300" distR="114300" simplePos="0" relativeHeight="251666432" behindDoc="0" locked="0" layoutInCell="1" allowOverlap="1" wp14:anchorId="239FC762" wp14:editId="43B0BA37">
            <wp:simplePos x="0" y="0"/>
            <wp:positionH relativeFrom="column">
              <wp:posOffset>192405</wp:posOffset>
            </wp:positionH>
            <wp:positionV relativeFrom="paragraph">
              <wp:posOffset>29845</wp:posOffset>
            </wp:positionV>
            <wp:extent cx="4008120" cy="3063240"/>
            <wp:effectExtent l="0" t="0" r="11430" b="22860"/>
            <wp:wrapSquare wrapText="bothSides"/>
            <wp:docPr id="13" name="Wykres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85636" w:rsidRDefault="00D85636" w:rsidP="00D85636">
      <w:pPr>
        <w:spacing w:line="288" w:lineRule="auto"/>
        <w:rPr>
          <w:rFonts w:ascii="Arial" w:hAnsi="Arial" w:cs="Arial"/>
          <w:b/>
          <w:szCs w:val="24"/>
        </w:rPr>
      </w:pPr>
    </w:p>
    <w:p w:rsidR="00D85636" w:rsidRDefault="00D85636" w:rsidP="00D85636">
      <w:pPr>
        <w:spacing w:line="288" w:lineRule="auto"/>
        <w:rPr>
          <w:rFonts w:ascii="Arial" w:hAnsi="Arial" w:cs="Arial"/>
          <w:b/>
          <w:szCs w:val="24"/>
        </w:rPr>
      </w:pPr>
    </w:p>
    <w:p w:rsidR="00D85636" w:rsidRDefault="00D85636" w:rsidP="00D85636">
      <w:pPr>
        <w:spacing w:line="288" w:lineRule="auto"/>
        <w:rPr>
          <w:rFonts w:ascii="Arial" w:hAnsi="Arial" w:cs="Arial"/>
          <w:b/>
          <w:szCs w:val="24"/>
        </w:rPr>
      </w:pPr>
    </w:p>
    <w:p w:rsidR="00D85636" w:rsidRDefault="00D85636" w:rsidP="00D85636">
      <w:pPr>
        <w:spacing w:line="288" w:lineRule="auto"/>
        <w:rPr>
          <w:rFonts w:ascii="Arial" w:hAnsi="Arial" w:cs="Arial"/>
          <w:b/>
          <w:szCs w:val="24"/>
        </w:rPr>
      </w:pPr>
    </w:p>
    <w:p w:rsidR="00D85636" w:rsidRDefault="00D85636" w:rsidP="00D85636">
      <w:pPr>
        <w:spacing w:line="288" w:lineRule="auto"/>
        <w:rPr>
          <w:rFonts w:ascii="Arial" w:hAnsi="Arial" w:cs="Arial"/>
          <w:b/>
          <w:szCs w:val="24"/>
        </w:rPr>
      </w:pPr>
    </w:p>
    <w:p w:rsidR="00F15455" w:rsidRDefault="00F15455" w:rsidP="00D85636">
      <w:pPr>
        <w:spacing w:line="288" w:lineRule="auto"/>
        <w:rPr>
          <w:rFonts w:ascii="Arial" w:hAnsi="Arial" w:cs="Arial"/>
          <w:b/>
          <w:szCs w:val="24"/>
        </w:rPr>
      </w:pPr>
    </w:p>
    <w:p w:rsidR="00F15455" w:rsidRDefault="00F15455" w:rsidP="00D85636">
      <w:pPr>
        <w:spacing w:line="288" w:lineRule="auto"/>
        <w:rPr>
          <w:rFonts w:ascii="Arial" w:hAnsi="Arial" w:cs="Arial"/>
          <w:b/>
          <w:szCs w:val="24"/>
        </w:rPr>
      </w:pPr>
    </w:p>
    <w:p w:rsidR="00F15455" w:rsidRDefault="00F15455" w:rsidP="00D85636">
      <w:pPr>
        <w:spacing w:line="288" w:lineRule="auto"/>
        <w:rPr>
          <w:rFonts w:ascii="Arial" w:hAnsi="Arial" w:cs="Arial"/>
          <w:b/>
          <w:szCs w:val="24"/>
        </w:rPr>
      </w:pPr>
    </w:p>
    <w:p w:rsidR="00F15455" w:rsidRDefault="00F15455" w:rsidP="00D85636">
      <w:pPr>
        <w:spacing w:line="288" w:lineRule="auto"/>
        <w:rPr>
          <w:rFonts w:ascii="Arial" w:hAnsi="Arial" w:cs="Arial"/>
          <w:b/>
          <w:szCs w:val="24"/>
        </w:rPr>
      </w:pPr>
    </w:p>
    <w:p w:rsidR="00F15455" w:rsidRDefault="00F15455" w:rsidP="00D85636">
      <w:pPr>
        <w:spacing w:line="288" w:lineRule="auto"/>
        <w:rPr>
          <w:rFonts w:ascii="Arial" w:hAnsi="Arial" w:cs="Arial"/>
          <w:b/>
          <w:szCs w:val="24"/>
        </w:rPr>
      </w:pPr>
    </w:p>
    <w:p w:rsidR="00F15455" w:rsidRDefault="00F15455" w:rsidP="00D85636">
      <w:pPr>
        <w:spacing w:line="288" w:lineRule="auto"/>
        <w:rPr>
          <w:rFonts w:ascii="Arial" w:hAnsi="Arial" w:cs="Arial"/>
          <w:b/>
          <w:szCs w:val="24"/>
        </w:rPr>
      </w:pPr>
    </w:p>
    <w:p w:rsidR="00F15455" w:rsidRDefault="00F15455" w:rsidP="00D85636">
      <w:pPr>
        <w:spacing w:line="288" w:lineRule="auto"/>
        <w:rPr>
          <w:rFonts w:ascii="Arial" w:hAnsi="Arial" w:cs="Arial"/>
          <w:b/>
          <w:szCs w:val="24"/>
        </w:rPr>
      </w:pPr>
    </w:p>
    <w:p w:rsidR="005E03B9" w:rsidRDefault="005E03B9" w:rsidP="00D85636">
      <w:pPr>
        <w:spacing w:line="288" w:lineRule="auto"/>
        <w:rPr>
          <w:rFonts w:ascii="Arial" w:hAnsi="Arial" w:cs="Arial"/>
          <w:b/>
          <w:szCs w:val="24"/>
        </w:rPr>
      </w:pPr>
    </w:p>
    <w:p w:rsidR="005E03B9" w:rsidRDefault="005E03B9" w:rsidP="00D85636">
      <w:pPr>
        <w:spacing w:line="288" w:lineRule="auto"/>
        <w:rPr>
          <w:rFonts w:ascii="Arial" w:hAnsi="Arial" w:cs="Arial"/>
          <w:b/>
          <w:szCs w:val="24"/>
        </w:rPr>
      </w:pPr>
    </w:p>
    <w:p w:rsidR="00D85636" w:rsidRPr="005E03B9" w:rsidRDefault="00D85636" w:rsidP="00D85636">
      <w:pPr>
        <w:numPr>
          <w:ilvl w:val="0"/>
          <w:numId w:val="1"/>
        </w:numPr>
        <w:spacing w:line="288" w:lineRule="auto"/>
        <w:ind w:left="426" w:hanging="426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lastRenderedPageBreak/>
        <w:t>Referat Architektury i Budownictwa.</w:t>
      </w:r>
    </w:p>
    <w:p w:rsidR="00D85636" w:rsidRPr="005E03B9" w:rsidRDefault="00D85636" w:rsidP="00D85636">
      <w:pPr>
        <w:spacing w:line="288" w:lineRule="auto"/>
        <w:rPr>
          <w:rFonts w:ascii="Arial" w:hAnsi="Arial" w:cs="Arial"/>
          <w:sz w:val="16"/>
          <w:szCs w:val="16"/>
        </w:rPr>
      </w:pPr>
    </w:p>
    <w:p w:rsidR="00A34E31" w:rsidRDefault="00A34E31" w:rsidP="00A34E31">
      <w:pPr>
        <w:spacing w:line="288" w:lineRule="auto"/>
      </w:pPr>
      <w:r>
        <w:rPr>
          <w:noProof/>
          <w:lang w:eastAsia="pl-PL"/>
        </w:rPr>
        <w:drawing>
          <wp:inline distT="0" distB="0" distL="0" distR="0">
            <wp:extent cx="5735320" cy="2844800"/>
            <wp:effectExtent l="0" t="0" r="0" b="0"/>
            <wp:docPr id="14" name="Wykres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5E03B9" w:rsidRPr="005E03B9" w:rsidRDefault="005E03B9" w:rsidP="00D85636">
      <w:pPr>
        <w:spacing w:line="288" w:lineRule="auto"/>
        <w:rPr>
          <w:sz w:val="16"/>
          <w:szCs w:val="16"/>
        </w:rPr>
      </w:pPr>
    </w:p>
    <w:p w:rsidR="00E5075E" w:rsidRPr="005E03B9" w:rsidRDefault="00D85636" w:rsidP="005E03B9">
      <w:pPr>
        <w:numPr>
          <w:ilvl w:val="0"/>
          <w:numId w:val="1"/>
        </w:numPr>
        <w:spacing w:line="288" w:lineRule="auto"/>
        <w:ind w:left="426" w:hanging="426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Referat Ochrony Środowiska, Gospodarki Wodnej i Rolnictwa.</w:t>
      </w:r>
    </w:p>
    <w:p w:rsidR="00DF2D8A" w:rsidRDefault="00DF2D8A" w:rsidP="00DF2D8A">
      <w:pPr>
        <w:spacing w:line="288" w:lineRule="auto"/>
        <w:rPr>
          <w:rFonts w:ascii="Arial" w:hAnsi="Arial" w:cs="Arial"/>
          <w:b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69504" behindDoc="0" locked="0" layoutInCell="1" allowOverlap="1" wp14:anchorId="5FE81EFA" wp14:editId="66F933A9">
            <wp:simplePos x="0" y="0"/>
            <wp:positionH relativeFrom="column">
              <wp:posOffset>187325</wp:posOffset>
            </wp:positionH>
            <wp:positionV relativeFrom="paragraph">
              <wp:posOffset>81280</wp:posOffset>
            </wp:positionV>
            <wp:extent cx="4475480" cy="2895600"/>
            <wp:effectExtent l="0" t="0" r="20320" b="19050"/>
            <wp:wrapSquare wrapText="bothSides"/>
            <wp:docPr id="16" name="Wykres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F2D8A" w:rsidRPr="00DF2D8A" w:rsidRDefault="00DF2D8A" w:rsidP="00DF2D8A">
      <w:pPr>
        <w:spacing w:line="288" w:lineRule="auto"/>
        <w:rPr>
          <w:rFonts w:ascii="Arial" w:hAnsi="Arial" w:cs="Arial"/>
          <w:b/>
          <w:szCs w:val="24"/>
        </w:rPr>
      </w:pPr>
    </w:p>
    <w:p w:rsidR="00D85636" w:rsidRPr="00697DF9" w:rsidRDefault="00D85636" w:rsidP="00D85636">
      <w:pPr>
        <w:spacing w:line="288" w:lineRule="auto"/>
        <w:rPr>
          <w:rFonts w:ascii="Arial" w:hAnsi="Arial" w:cs="Arial"/>
          <w:b/>
          <w:szCs w:val="24"/>
        </w:rPr>
      </w:pPr>
    </w:p>
    <w:p w:rsidR="00D85636" w:rsidRPr="00B005A0" w:rsidRDefault="00D85636" w:rsidP="00D85636">
      <w:pPr>
        <w:spacing w:line="288" w:lineRule="auto"/>
        <w:ind w:left="426" w:hanging="426"/>
        <w:jc w:val="both"/>
        <w:rPr>
          <w:rFonts w:ascii="Arial" w:hAnsi="Arial" w:cs="Arial"/>
          <w:b/>
          <w:sz w:val="20"/>
          <w:szCs w:val="20"/>
        </w:rPr>
      </w:pPr>
    </w:p>
    <w:p w:rsidR="00D85636" w:rsidRDefault="00D85636" w:rsidP="00D85636">
      <w:pPr>
        <w:pStyle w:val="Tekstpodstawowy2"/>
        <w:spacing w:line="288" w:lineRule="auto"/>
        <w:rPr>
          <w:rFonts w:ascii="Arial" w:hAnsi="Arial" w:cs="Arial"/>
          <w:sz w:val="20"/>
        </w:rPr>
      </w:pPr>
    </w:p>
    <w:p w:rsidR="00D85636" w:rsidRDefault="00D85636" w:rsidP="00D85636">
      <w:pPr>
        <w:pStyle w:val="Tekstpodstawowy2"/>
        <w:spacing w:line="288" w:lineRule="auto"/>
        <w:rPr>
          <w:rFonts w:ascii="Arial" w:hAnsi="Arial" w:cs="Arial"/>
          <w:sz w:val="20"/>
        </w:rPr>
      </w:pPr>
    </w:p>
    <w:p w:rsidR="00D85636" w:rsidRDefault="00D85636" w:rsidP="00D85636">
      <w:pPr>
        <w:pStyle w:val="Tekstpodstawowy2"/>
        <w:spacing w:line="288" w:lineRule="auto"/>
        <w:rPr>
          <w:rFonts w:ascii="Arial" w:hAnsi="Arial" w:cs="Arial"/>
          <w:sz w:val="20"/>
        </w:rPr>
      </w:pPr>
    </w:p>
    <w:p w:rsidR="00D85636" w:rsidRDefault="00D85636" w:rsidP="00D85636">
      <w:pPr>
        <w:pStyle w:val="Tekstpodstawowy2"/>
        <w:spacing w:line="288" w:lineRule="auto"/>
        <w:rPr>
          <w:rFonts w:ascii="Arial" w:hAnsi="Arial" w:cs="Arial"/>
          <w:sz w:val="20"/>
        </w:rPr>
      </w:pPr>
    </w:p>
    <w:p w:rsidR="00D85636" w:rsidRDefault="00D85636" w:rsidP="00D85636">
      <w:pPr>
        <w:pStyle w:val="Tekstpodstawowy2"/>
        <w:spacing w:line="288" w:lineRule="auto"/>
        <w:rPr>
          <w:rFonts w:ascii="Arial" w:hAnsi="Arial" w:cs="Arial"/>
          <w:sz w:val="20"/>
        </w:rPr>
      </w:pPr>
    </w:p>
    <w:p w:rsidR="00D85636" w:rsidRDefault="00D85636" w:rsidP="00D85636">
      <w:pPr>
        <w:pStyle w:val="Tekstpodstawowy2"/>
        <w:spacing w:line="288" w:lineRule="auto"/>
        <w:rPr>
          <w:rFonts w:ascii="Arial" w:hAnsi="Arial" w:cs="Arial"/>
          <w:sz w:val="20"/>
        </w:rPr>
      </w:pPr>
    </w:p>
    <w:p w:rsidR="00D85636" w:rsidRDefault="00D85636" w:rsidP="00D85636">
      <w:pPr>
        <w:pStyle w:val="Tekstpodstawowy2"/>
        <w:spacing w:line="288" w:lineRule="auto"/>
        <w:rPr>
          <w:rFonts w:ascii="Arial" w:hAnsi="Arial" w:cs="Arial"/>
          <w:sz w:val="20"/>
        </w:rPr>
      </w:pPr>
    </w:p>
    <w:p w:rsidR="00D85636" w:rsidRDefault="00D85636" w:rsidP="00D85636">
      <w:pPr>
        <w:pStyle w:val="Tekstpodstawowy2"/>
        <w:spacing w:line="288" w:lineRule="auto"/>
        <w:rPr>
          <w:rFonts w:ascii="Arial" w:hAnsi="Arial" w:cs="Arial"/>
          <w:sz w:val="20"/>
        </w:rPr>
      </w:pPr>
    </w:p>
    <w:p w:rsidR="00DF2D8A" w:rsidRDefault="00DF2D8A" w:rsidP="00D85636">
      <w:pPr>
        <w:pStyle w:val="Tekstpodstawowy2"/>
        <w:spacing w:line="288" w:lineRule="auto"/>
        <w:rPr>
          <w:rFonts w:ascii="Arial" w:hAnsi="Arial" w:cs="Arial"/>
          <w:sz w:val="20"/>
        </w:rPr>
      </w:pPr>
    </w:p>
    <w:p w:rsidR="00DF2D8A" w:rsidRDefault="00DF2D8A" w:rsidP="00D85636">
      <w:pPr>
        <w:pStyle w:val="Tekstpodstawowy2"/>
        <w:spacing w:line="288" w:lineRule="auto"/>
        <w:rPr>
          <w:rFonts w:ascii="Arial" w:hAnsi="Arial" w:cs="Arial"/>
          <w:sz w:val="20"/>
        </w:rPr>
      </w:pPr>
    </w:p>
    <w:p w:rsidR="00DF2D8A" w:rsidRDefault="00DF2D8A" w:rsidP="00D85636">
      <w:pPr>
        <w:pStyle w:val="Tekstpodstawowy2"/>
        <w:spacing w:line="288" w:lineRule="auto"/>
        <w:rPr>
          <w:rFonts w:ascii="Arial" w:hAnsi="Arial" w:cs="Arial"/>
          <w:sz w:val="20"/>
        </w:rPr>
      </w:pPr>
    </w:p>
    <w:p w:rsidR="00DF2D8A" w:rsidRDefault="00DF2D8A" w:rsidP="00D85636">
      <w:pPr>
        <w:pStyle w:val="Tekstpodstawowy2"/>
        <w:spacing w:line="288" w:lineRule="auto"/>
        <w:rPr>
          <w:rFonts w:ascii="Arial" w:hAnsi="Arial" w:cs="Arial"/>
          <w:sz w:val="20"/>
        </w:rPr>
      </w:pPr>
    </w:p>
    <w:p w:rsidR="00E71204" w:rsidRPr="00B005A0" w:rsidRDefault="00E71204" w:rsidP="00D85636">
      <w:pPr>
        <w:pStyle w:val="Tekstpodstawowy2"/>
        <w:spacing w:line="288" w:lineRule="auto"/>
        <w:rPr>
          <w:rFonts w:ascii="Arial" w:hAnsi="Arial" w:cs="Arial"/>
          <w:sz w:val="20"/>
        </w:rPr>
      </w:pPr>
    </w:p>
    <w:p w:rsidR="00D85636" w:rsidRDefault="00D85636" w:rsidP="00D85636">
      <w:pPr>
        <w:numPr>
          <w:ilvl w:val="0"/>
          <w:numId w:val="1"/>
        </w:numPr>
        <w:spacing w:line="288" w:lineRule="auto"/>
        <w:ind w:left="426" w:hanging="426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 xml:space="preserve">Referat Gospodarki Nieruchomościami. </w:t>
      </w:r>
    </w:p>
    <w:p w:rsidR="00AF4CC3" w:rsidRDefault="00AF4CC3" w:rsidP="00AF4CC3">
      <w:pPr>
        <w:spacing w:line="288" w:lineRule="auto"/>
        <w:ind w:left="426"/>
        <w:rPr>
          <w:rFonts w:ascii="Arial" w:hAnsi="Arial" w:cs="Arial"/>
          <w:b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71552" behindDoc="0" locked="0" layoutInCell="1" allowOverlap="1" wp14:anchorId="53FAD349" wp14:editId="58887807">
            <wp:simplePos x="0" y="0"/>
            <wp:positionH relativeFrom="column">
              <wp:posOffset>62865</wp:posOffset>
            </wp:positionH>
            <wp:positionV relativeFrom="paragraph">
              <wp:posOffset>146685</wp:posOffset>
            </wp:positionV>
            <wp:extent cx="4097655" cy="2273300"/>
            <wp:effectExtent l="0" t="0" r="17145" b="12700"/>
            <wp:wrapSquare wrapText="bothSides"/>
            <wp:docPr id="17" name="Wykres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F4CC3" w:rsidRDefault="00AF4CC3" w:rsidP="00AF4CC3">
      <w:pPr>
        <w:spacing w:line="288" w:lineRule="auto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 xml:space="preserve"> </w:t>
      </w:r>
    </w:p>
    <w:p w:rsidR="00AF4CC3" w:rsidRDefault="00AF4CC3" w:rsidP="00AF4CC3">
      <w:pPr>
        <w:spacing w:line="288" w:lineRule="auto"/>
        <w:rPr>
          <w:rFonts w:ascii="Arial" w:hAnsi="Arial" w:cs="Arial"/>
          <w:sz w:val="20"/>
          <w:szCs w:val="20"/>
        </w:rPr>
      </w:pPr>
    </w:p>
    <w:p w:rsidR="00AB1C21" w:rsidRDefault="00AB1C21"/>
    <w:sectPr w:rsidR="00AB1C21"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0AC2" w:rsidRDefault="00CE0AC2" w:rsidP="005E03B9">
      <w:r>
        <w:separator/>
      </w:r>
    </w:p>
  </w:endnote>
  <w:endnote w:type="continuationSeparator" w:id="0">
    <w:p w:rsidR="00CE0AC2" w:rsidRDefault="00CE0AC2" w:rsidP="005E03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horndale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03B9" w:rsidRDefault="005E03B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0AC2" w:rsidRDefault="00CE0AC2" w:rsidP="005E03B9">
      <w:r>
        <w:separator/>
      </w:r>
    </w:p>
  </w:footnote>
  <w:footnote w:type="continuationSeparator" w:id="0">
    <w:p w:rsidR="00CE0AC2" w:rsidRDefault="00CE0AC2" w:rsidP="005E03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340639"/>
    <w:multiLevelType w:val="hybridMultilevel"/>
    <w:tmpl w:val="FFAC1C6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36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>
    <w:nsid w:val="584B7B11"/>
    <w:multiLevelType w:val="hybridMultilevel"/>
    <w:tmpl w:val="00285F60"/>
    <w:lvl w:ilvl="0" w:tplc="93941EC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636"/>
    <w:rsid w:val="0025601F"/>
    <w:rsid w:val="002C6A1D"/>
    <w:rsid w:val="002C7AF7"/>
    <w:rsid w:val="005D4751"/>
    <w:rsid w:val="005E03B9"/>
    <w:rsid w:val="00805597"/>
    <w:rsid w:val="008D2C2E"/>
    <w:rsid w:val="00943B0B"/>
    <w:rsid w:val="00974D06"/>
    <w:rsid w:val="00A34E31"/>
    <w:rsid w:val="00AB1C21"/>
    <w:rsid w:val="00AF4CC3"/>
    <w:rsid w:val="00B22B74"/>
    <w:rsid w:val="00CA5856"/>
    <w:rsid w:val="00CC70AC"/>
    <w:rsid w:val="00CD4BC8"/>
    <w:rsid w:val="00CE0AC2"/>
    <w:rsid w:val="00D53C69"/>
    <w:rsid w:val="00D85636"/>
    <w:rsid w:val="00D97BF4"/>
    <w:rsid w:val="00DF2D8A"/>
    <w:rsid w:val="00E5075E"/>
    <w:rsid w:val="00E71204"/>
    <w:rsid w:val="00F15455"/>
    <w:rsid w:val="00F67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5636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rsid w:val="00D85636"/>
    <w:pPr>
      <w:jc w:val="both"/>
    </w:pPr>
    <w:rPr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D8563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rsid w:val="00D85636"/>
    <w:pPr>
      <w:spacing w:before="100" w:beforeAutospacing="1" w:after="119"/>
    </w:pPr>
    <w:rPr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8563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636"/>
    <w:rPr>
      <w:rFonts w:ascii="Tahoma" w:eastAsia="Times New Roman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5E03B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E03B9"/>
    <w:rPr>
      <w:rFonts w:ascii="Times New Roman" w:eastAsia="Times New Roman" w:hAnsi="Times New Roman" w:cs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5E03B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E03B9"/>
    <w:rPr>
      <w:rFonts w:ascii="Times New Roman" w:eastAsia="Times New Roman" w:hAnsi="Times New Roman" w:cs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5636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rsid w:val="00D85636"/>
    <w:pPr>
      <w:jc w:val="both"/>
    </w:pPr>
    <w:rPr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D8563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rsid w:val="00D85636"/>
    <w:pPr>
      <w:spacing w:before="100" w:beforeAutospacing="1" w:after="119"/>
    </w:pPr>
    <w:rPr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8563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636"/>
    <w:rPr>
      <w:rFonts w:ascii="Tahoma" w:eastAsia="Times New Roman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5E03B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E03B9"/>
    <w:rPr>
      <w:rFonts w:ascii="Times New Roman" w:eastAsia="Times New Roman" w:hAnsi="Times New Roman" w:cs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5E03B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E03B9"/>
    <w:rPr>
      <w:rFonts w:ascii="Times New Roman" w:eastAsia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5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hart" Target="charts/chart4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3.xm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chart" Target="charts/chart2.xml"/><Relationship Id="rId4" Type="http://schemas.microsoft.com/office/2007/relationships/stylesWithEffects" Target="stylesWithEffects.xml"/><Relationship Id="rId9" Type="http://schemas.openxmlformats.org/officeDocument/2006/relationships/chart" Target="charts/chart1.xml"/><Relationship Id="rId14" Type="http://schemas.openxmlformats.org/officeDocument/2006/relationships/chart" Target="charts/chart6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30"/>
      <c:rotY val="20"/>
      <c:depthPercent val="100"/>
      <c:rAngAx val="1"/>
    </c:view3D>
    <c:floor>
      <c:thickness val="0"/>
      <c:spPr>
        <a:noFill/>
        <a:ln w="3175">
          <a:solidFill>
            <a:srgbClr val="000000"/>
          </a:solidFill>
          <a:prstDash val="solid"/>
        </a:ln>
      </c:spPr>
    </c:floor>
    <c:sideWall>
      <c:thickness val="0"/>
      <c:spPr>
        <a:noFill/>
        <a:ln w="25400">
          <a:noFill/>
        </a:ln>
      </c:spPr>
    </c:sideWall>
    <c:backWall>
      <c:thickness val="0"/>
      <c:spPr>
        <a:noFill/>
        <a:ln w="25400">
          <a:noFill/>
        </a:ln>
      </c:spPr>
    </c:backWall>
    <c:plotArea>
      <c:layout>
        <c:manualLayout>
          <c:layoutTarget val="inner"/>
          <c:xMode val="edge"/>
          <c:yMode val="edge"/>
          <c:x val="6.7567567567567571E-2"/>
          <c:y val="4.2452830188679243E-2"/>
          <c:w val="0.91722972972972971"/>
          <c:h val="0.70283018867924529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Ilość wydanych decyzji administracyjnych</c:v>
                </c:pt>
              </c:strCache>
            </c:strRef>
          </c:tx>
          <c:spPr>
            <a:solidFill>
              <a:srgbClr val="C0C0C0"/>
            </a:solidFill>
            <a:ln w="3170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 val="1.3603054266109962E-2"/>
                  <c:y val="-5.404440597750937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1.4700101382744312E-2"/>
                  <c:y val="-2.687256079791549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1.410795931018949E-2"/>
                  <c:y val="-2.296646257842591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1.689419561601304E-2"/>
                  <c:y val="-3.037642280836087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9.5452967867013898E-3"/>
                  <c:y val="-2.432579990114624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1.233153309252494E-2"/>
                  <c:y val="-1.925516125161421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1.5117769398348489E-2"/>
                  <c:y val="-2.711512391003735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7"/>
              <c:layout>
                <c:manualLayout>
                  <c:x val="6.0796813798476958E-3"/>
                  <c:y val="-4.733891266585139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8"/>
              <c:layout>
                <c:manualLayout>
                  <c:x val="8.8659176856712447E-3"/>
                  <c:y val="-1.647115848885181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9"/>
              <c:layout>
                <c:manualLayout>
                  <c:x val="8.273775613116395E-3"/>
                  <c:y val="-3.088443217661107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0"/>
              <c:layout>
                <c:manualLayout>
                  <c:x val="7.6816335405615454E-3"/>
                  <c:y val="-2.322379304138143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5357">
                <a:noFill/>
              </a:ln>
            </c:spPr>
            <c:txPr>
              <a:bodyPr/>
              <a:lstStyle/>
              <a:p>
                <a:pPr>
                  <a:defRPr sz="599" b="1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Sheet1!$B$1:$L$1</c:f>
              <c:numCache>
                <c:formatCode>General</c:formatCode>
                <c:ptCount val="11"/>
                <c:pt idx="0">
                  <c:v>2003</c:v>
                </c:pt>
                <c:pt idx="1">
                  <c:v>2004</c:v>
                </c:pt>
                <c:pt idx="2">
                  <c:v>2005</c:v>
                </c:pt>
                <c:pt idx="3">
                  <c:v>2006</c:v>
                </c:pt>
                <c:pt idx="4">
                  <c:v>2007</c:v>
                </c:pt>
                <c:pt idx="5">
                  <c:v>2008</c:v>
                </c:pt>
                <c:pt idx="6">
                  <c:v>2009</c:v>
                </c:pt>
                <c:pt idx="7">
                  <c:v>2010</c:v>
                </c:pt>
                <c:pt idx="8">
                  <c:v>2011</c:v>
                </c:pt>
                <c:pt idx="9">
                  <c:v>2012</c:v>
                </c:pt>
                <c:pt idx="10">
                  <c:v>2013</c:v>
                </c:pt>
              </c:numCache>
            </c:numRef>
          </c:cat>
          <c:val>
            <c:numRef>
              <c:f>Sheet1!$B$2:$L$2</c:f>
              <c:numCache>
                <c:formatCode>General</c:formatCode>
                <c:ptCount val="11"/>
                <c:pt idx="0">
                  <c:v>13576</c:v>
                </c:pt>
                <c:pt idx="1">
                  <c:v>26421</c:v>
                </c:pt>
                <c:pt idx="2">
                  <c:v>15793</c:v>
                </c:pt>
                <c:pt idx="3">
                  <c:v>18227</c:v>
                </c:pt>
                <c:pt idx="4">
                  <c:v>23979</c:v>
                </c:pt>
                <c:pt idx="5">
                  <c:v>27096</c:v>
                </c:pt>
                <c:pt idx="6">
                  <c:v>26924</c:v>
                </c:pt>
                <c:pt idx="7">
                  <c:v>26600</c:v>
                </c:pt>
                <c:pt idx="8">
                  <c:v>30346</c:v>
                </c:pt>
                <c:pt idx="9">
                  <c:v>27234</c:v>
                </c:pt>
                <c:pt idx="10">
                  <c:v>31009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Iloś uchylonych decyzji administracyjnych</c:v>
                </c:pt>
              </c:strCache>
            </c:strRef>
          </c:tx>
          <c:spPr>
            <a:solidFill>
              <a:srgbClr val="000000"/>
            </a:solidFill>
            <a:ln w="3170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 val="2.5484244698554887E-2"/>
                  <c:y val="-2.372764183799416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1.9767985240303938E-2"/>
                  <c:y val="-2.350807793732790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1.9232392985877589E-2"/>
                  <c:y val="-1.422033387426721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2.0272890284383439E-2"/>
                  <c:y val="-1.418389762351009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1.8048108840767942E-2"/>
                  <c:y val="-2.365429613841815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1.7455966768212983E-2"/>
                  <c:y val="-1.423878859867666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1.6807274877529688E-2"/>
                  <c:y val="4.720463155548903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7"/>
              <c:layout>
                <c:manualLayout>
                  <c:x val="1.2836754426596439E-2"/>
                  <c:y val="4.720463155548903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8"/>
              <c:layout>
                <c:manualLayout>
                  <c:x val="1.224461235404159E-2"/>
                  <c:y val="-1.411102512199586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9"/>
              <c:layout>
                <c:manualLayout>
                  <c:x val="1.8409227038243426E-2"/>
                  <c:y val="-1.4499502874179484E-5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0"/>
              <c:layout>
                <c:manualLayout>
                  <c:x val="1.6127895776499434E-2"/>
                  <c:y val="-1.418389762351009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5357">
                <a:noFill/>
              </a:ln>
            </c:spPr>
            <c:txPr>
              <a:bodyPr/>
              <a:lstStyle/>
              <a:p>
                <a:pPr>
                  <a:defRPr sz="599" b="1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Sheet1!$B$1:$L$1</c:f>
              <c:numCache>
                <c:formatCode>General</c:formatCode>
                <c:ptCount val="11"/>
                <c:pt idx="0">
                  <c:v>2003</c:v>
                </c:pt>
                <c:pt idx="1">
                  <c:v>2004</c:v>
                </c:pt>
                <c:pt idx="2">
                  <c:v>2005</c:v>
                </c:pt>
                <c:pt idx="3">
                  <c:v>2006</c:v>
                </c:pt>
                <c:pt idx="4">
                  <c:v>2007</c:v>
                </c:pt>
                <c:pt idx="5">
                  <c:v>2008</c:v>
                </c:pt>
                <c:pt idx="6">
                  <c:v>2009</c:v>
                </c:pt>
                <c:pt idx="7">
                  <c:v>2010</c:v>
                </c:pt>
                <c:pt idx="8">
                  <c:v>2011</c:v>
                </c:pt>
                <c:pt idx="9">
                  <c:v>2012</c:v>
                </c:pt>
                <c:pt idx="10">
                  <c:v>2013</c:v>
                </c:pt>
              </c:numCache>
            </c:numRef>
          </c:cat>
          <c:val>
            <c:numRef>
              <c:f>Sheet1!$B$3:$L$3</c:f>
              <c:numCache>
                <c:formatCode>General</c:formatCode>
                <c:ptCount val="11"/>
                <c:pt idx="0">
                  <c:v>5</c:v>
                </c:pt>
                <c:pt idx="1">
                  <c:v>17</c:v>
                </c:pt>
                <c:pt idx="2">
                  <c:v>9</c:v>
                </c:pt>
                <c:pt idx="3">
                  <c:v>11</c:v>
                </c:pt>
                <c:pt idx="4">
                  <c:v>9</c:v>
                </c:pt>
                <c:pt idx="5">
                  <c:v>8</c:v>
                </c:pt>
                <c:pt idx="6">
                  <c:v>13</c:v>
                </c:pt>
                <c:pt idx="7">
                  <c:v>13</c:v>
                </c:pt>
                <c:pt idx="8">
                  <c:v>15</c:v>
                </c:pt>
                <c:pt idx="9">
                  <c:v>12</c:v>
                </c:pt>
                <c:pt idx="10">
                  <c:v>11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223870336"/>
        <c:axId val="223884416"/>
        <c:axId val="0"/>
      </c:bar3DChart>
      <c:catAx>
        <c:axId val="22387033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99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pl-PL"/>
          </a:p>
        </c:txPr>
        <c:crossAx val="22388441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23884416"/>
        <c:scaling>
          <c:orientation val="minMax"/>
        </c:scaling>
        <c:delete val="0"/>
        <c:axPos val="l"/>
        <c:majorGridlines>
          <c:spPr>
            <a:ln w="3170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699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pl-PL"/>
          </a:p>
        </c:txPr>
        <c:crossAx val="223870336"/>
        <c:crosses val="autoZero"/>
        <c:crossBetween val="between"/>
      </c:valAx>
      <c:spPr>
        <a:noFill/>
        <a:ln w="25357">
          <a:noFill/>
        </a:ln>
      </c:spPr>
    </c:plotArea>
    <c:legend>
      <c:legendPos val="b"/>
      <c:legendEntry>
        <c:idx val="0"/>
        <c:txPr>
          <a:bodyPr/>
          <a:lstStyle/>
          <a:p>
            <a:pPr>
              <a:defRPr sz="639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pl-PL"/>
          </a:p>
        </c:txPr>
      </c:legendEntry>
      <c:legendEntry>
        <c:idx val="1"/>
        <c:txPr>
          <a:bodyPr/>
          <a:lstStyle/>
          <a:p>
            <a:pPr>
              <a:defRPr sz="639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pl-PL"/>
          </a:p>
        </c:txPr>
      </c:legendEntry>
      <c:layout>
        <c:manualLayout>
          <c:xMode val="edge"/>
          <c:yMode val="edge"/>
          <c:x val="0.13682432432432431"/>
          <c:y val="0.910377358490566"/>
          <c:w val="0.73141891891891897"/>
          <c:h val="8.4905660377358486E-2"/>
        </c:manualLayout>
      </c:layout>
      <c:overlay val="0"/>
      <c:spPr>
        <a:solidFill>
          <a:srgbClr val="FFFFFF"/>
        </a:solidFill>
        <a:ln w="25357">
          <a:noFill/>
        </a:ln>
      </c:spPr>
      <c:txPr>
        <a:bodyPr/>
        <a:lstStyle/>
        <a:p>
          <a:pPr>
            <a:defRPr sz="639" b="1" i="0" u="none" strike="noStrike" baseline="0">
              <a:solidFill>
                <a:srgbClr val="000000"/>
              </a:solidFill>
              <a:latin typeface="Arial"/>
              <a:ea typeface="Arial"/>
              <a:cs typeface="Arial"/>
            </a:defRPr>
          </a:pPr>
          <a:endParaRPr lang="pl-PL"/>
        </a:p>
      </c:txPr>
    </c:legend>
    <c:plotVisOnly val="1"/>
    <c:dispBlanksAs val="gap"/>
    <c:showDLblsOverMax val="0"/>
  </c:chart>
  <c:spPr>
    <a:noFill/>
    <a:ln w="6350" cap="flat" cmpd="sng" algn="ctr">
      <a:solidFill>
        <a:srgbClr val="000000"/>
      </a:solidFill>
      <a:prstDash val="solid"/>
      <a:miter lim="800000"/>
      <a:headEnd type="none" w="med" len="med"/>
      <a:tailEnd type="none" w="med" len="med"/>
    </a:ln>
  </c:spPr>
  <c:txPr>
    <a:bodyPr/>
    <a:lstStyle/>
    <a:p>
      <a:pPr>
        <a:defRPr sz="923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pl-PL"/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999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r>
              <a:rPr lang="pl-PL"/>
              <a:t>Ilość wydanych decyzji administracyjnych 
w Wydziale Komunikacji i Transportu w latach 2003-2013
</a:t>
            </a:r>
          </a:p>
        </c:rich>
      </c:tx>
      <c:layout>
        <c:manualLayout>
          <c:xMode val="edge"/>
          <c:yMode val="edge"/>
          <c:x val="0.12694877505567928"/>
          <c:y val="2.2026431718061675E-2"/>
        </c:manualLayout>
      </c:layout>
      <c:overlay val="0"/>
      <c:spPr>
        <a:noFill/>
        <a:ln w="25381">
          <a:noFill/>
        </a:ln>
      </c:spPr>
    </c:title>
    <c:autoTitleDeleted val="0"/>
    <c:view3D>
      <c:rotX val="15"/>
      <c:hPercent val="33"/>
      <c:rotY val="20"/>
      <c:depthPercent val="100"/>
      <c:rAngAx val="1"/>
    </c:view3D>
    <c:floor>
      <c:thickness val="0"/>
      <c:spPr>
        <a:noFill/>
        <a:ln w="3175">
          <a:solidFill>
            <a:srgbClr val="000000"/>
          </a:solidFill>
          <a:prstDash val="solid"/>
        </a:ln>
      </c:spPr>
    </c:floor>
    <c:sideWall>
      <c:thickness val="0"/>
      <c:spPr>
        <a:noFill/>
        <a:ln w="25400">
          <a:noFill/>
        </a:ln>
      </c:spPr>
    </c:sideWall>
    <c:backWall>
      <c:thickness val="0"/>
      <c:spPr>
        <a:noFill/>
        <a:ln w="25400">
          <a:noFill/>
        </a:ln>
      </c:spPr>
    </c:backWall>
    <c:plotArea>
      <c:layout>
        <c:manualLayout>
          <c:layoutTarget val="inner"/>
          <c:xMode val="edge"/>
          <c:yMode val="edge"/>
          <c:x val="8.9086859688195991E-2"/>
          <c:y val="0.33920704845814981"/>
          <c:w val="0.89086859688195996"/>
          <c:h val="0.51541850220264318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Ilość wydanych decyzji administracyjnych</c:v>
                </c:pt>
              </c:strCache>
            </c:strRef>
          </c:tx>
          <c:spPr>
            <a:solidFill>
              <a:srgbClr val="C0C0C0"/>
            </a:solidFill>
            <a:ln w="3173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 val="1.6099161690714958E-2"/>
                  <c:y val="-7.091368051252241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1.5349074777477323E-2"/>
                  <c:y val="-2.004046108788733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1.9053101686375078E-2"/>
                  <c:y val="-2.835410899122787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2.0530186265342303E-2"/>
                  <c:y val="-7.5842010625561526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1.5325756367694838E-2"/>
                  <c:y val="-1.470071544887703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1.680261178438773E-2"/>
                  <c:y val="-1.2025995001904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1.6052524871150151E-2"/>
                  <c:y val="-1.100086046364104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7"/>
              <c:layout>
                <c:manualLayout>
                  <c:x val="1.5302208795638072E-2"/>
                  <c:y val="-1.341759806738651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8"/>
              <c:layout>
                <c:manualLayout>
                  <c:x val="1.4552121882400383E-2"/>
                  <c:y val="-2.472352703218329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9"/>
              <c:layout>
                <c:manualLayout>
                  <c:x val="1.1574863476957834E-2"/>
                  <c:y val="-1.327962037100405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0"/>
              <c:layout>
                <c:manualLayout>
                  <c:x val="1.3051948055925116E-2"/>
                  <c:y val="-2.508917720488535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5381">
                <a:noFill/>
              </a:ln>
            </c:spPr>
            <c:txPr>
              <a:bodyPr/>
              <a:lstStyle/>
              <a:p>
                <a:pPr>
                  <a:defRPr sz="600" b="1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Sheet1!$B$1:$L$1</c:f>
              <c:numCache>
                <c:formatCode>General</c:formatCode>
                <c:ptCount val="11"/>
                <c:pt idx="0">
                  <c:v>2003</c:v>
                </c:pt>
                <c:pt idx="1">
                  <c:v>2004</c:v>
                </c:pt>
                <c:pt idx="2">
                  <c:v>2005</c:v>
                </c:pt>
                <c:pt idx="3">
                  <c:v>2006</c:v>
                </c:pt>
                <c:pt idx="4">
                  <c:v>2007</c:v>
                </c:pt>
                <c:pt idx="5">
                  <c:v>2008</c:v>
                </c:pt>
                <c:pt idx="6">
                  <c:v>2009</c:v>
                </c:pt>
                <c:pt idx="7">
                  <c:v>2010</c:v>
                </c:pt>
                <c:pt idx="8">
                  <c:v>2011</c:v>
                </c:pt>
                <c:pt idx="9">
                  <c:v>2012</c:v>
                </c:pt>
                <c:pt idx="10">
                  <c:v>2013</c:v>
                </c:pt>
              </c:numCache>
            </c:numRef>
          </c:cat>
          <c:val>
            <c:numRef>
              <c:f>Sheet1!$B$2:$L$2</c:f>
              <c:numCache>
                <c:formatCode>General</c:formatCode>
                <c:ptCount val="11"/>
                <c:pt idx="0">
                  <c:v>12260</c:v>
                </c:pt>
                <c:pt idx="1">
                  <c:v>24950</c:v>
                </c:pt>
                <c:pt idx="2">
                  <c:v>14326</c:v>
                </c:pt>
                <c:pt idx="3">
                  <c:v>17124</c:v>
                </c:pt>
                <c:pt idx="4">
                  <c:v>22707</c:v>
                </c:pt>
                <c:pt idx="5">
                  <c:v>25762</c:v>
                </c:pt>
                <c:pt idx="6">
                  <c:v>25541</c:v>
                </c:pt>
                <c:pt idx="7">
                  <c:v>25383</c:v>
                </c:pt>
                <c:pt idx="8">
                  <c:v>28388</c:v>
                </c:pt>
                <c:pt idx="9">
                  <c:v>25104</c:v>
                </c:pt>
                <c:pt idx="10">
                  <c:v>26636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229023744"/>
        <c:axId val="229025280"/>
        <c:axId val="0"/>
      </c:bar3DChart>
      <c:catAx>
        <c:axId val="22902374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3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99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pl-PL"/>
          </a:p>
        </c:txPr>
        <c:crossAx val="229025280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29025280"/>
        <c:scaling>
          <c:orientation val="minMax"/>
        </c:scaling>
        <c:delete val="0"/>
        <c:axPos val="l"/>
        <c:majorGridlines>
          <c:spPr>
            <a:ln w="3173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3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699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pl-PL"/>
          </a:p>
        </c:txPr>
        <c:crossAx val="229023744"/>
        <c:crosses val="autoZero"/>
        <c:crossBetween val="between"/>
      </c:valAx>
      <c:spPr>
        <a:noFill/>
        <a:ln w="25381">
          <a:noFill/>
        </a:ln>
      </c:spPr>
    </c:plotArea>
    <c:plotVisOnly val="1"/>
    <c:dispBlanksAs val="gap"/>
    <c:showDLblsOverMax val="0"/>
  </c:chart>
  <c:spPr>
    <a:noFill/>
    <a:ln w="6350" cap="flat" cmpd="sng" algn="ctr">
      <a:solidFill>
        <a:srgbClr val="000000"/>
      </a:solidFill>
      <a:prstDash val="solid"/>
      <a:miter lim="800000"/>
      <a:headEnd type="none" w="med" len="med"/>
      <a:tailEnd type="none" w="med" len="med"/>
    </a:ln>
  </c:spPr>
  <c:txPr>
    <a:bodyPr/>
    <a:lstStyle/>
    <a:p>
      <a:pPr>
        <a:defRPr sz="999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pl-PL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999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r>
              <a:rPr lang="pl-PL"/>
              <a:t>Ilość wydanych decyzji administracyjnych 
w Wydziale Geodezji w latach
 2003-2013</a:t>
            </a:r>
          </a:p>
        </c:rich>
      </c:tx>
      <c:layout>
        <c:manualLayout>
          <c:xMode val="edge"/>
          <c:yMode val="edge"/>
          <c:x val="0.189873417721519"/>
          <c:y val="1.9292604501607719E-2"/>
        </c:manualLayout>
      </c:layout>
      <c:overlay val="0"/>
      <c:spPr>
        <a:noFill/>
        <a:ln w="25383">
          <a:noFill/>
        </a:ln>
      </c:spPr>
    </c:title>
    <c:autoTitleDeleted val="0"/>
    <c:view3D>
      <c:rotX val="15"/>
      <c:hPercent val="64"/>
      <c:rotY val="20"/>
      <c:depthPercent val="100"/>
      <c:rAngAx val="1"/>
    </c:view3D>
    <c:floor>
      <c:thickness val="0"/>
      <c:spPr>
        <a:noFill/>
        <a:ln w="3175">
          <a:solidFill>
            <a:srgbClr val="000000"/>
          </a:solidFill>
          <a:prstDash val="solid"/>
        </a:ln>
      </c:spPr>
    </c:floor>
    <c:sideWall>
      <c:thickness val="0"/>
      <c:spPr>
        <a:noFill/>
        <a:ln w="25400">
          <a:noFill/>
        </a:ln>
      </c:spPr>
    </c:sideWall>
    <c:backWall>
      <c:thickness val="0"/>
      <c:spPr>
        <a:noFill/>
        <a:ln w="25400">
          <a:noFill/>
        </a:ln>
      </c:spPr>
    </c:backWall>
    <c:plotArea>
      <c:layout>
        <c:manualLayout>
          <c:layoutTarget val="inner"/>
          <c:xMode val="edge"/>
          <c:yMode val="edge"/>
          <c:x val="0.11075949367088607"/>
          <c:y val="0.36655948553054662"/>
          <c:w val="0.86742812765347244"/>
          <c:h val="0.52733118971061088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Ilość wydanych decyzji administracyjnych</c:v>
                </c:pt>
              </c:strCache>
            </c:strRef>
          </c:tx>
          <c:spPr>
            <a:solidFill>
              <a:srgbClr val="C0C0C0"/>
            </a:solidFill>
            <a:ln w="3173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 val="1.7513078363495391E-2"/>
                  <c:y val="4.034749642872038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1.8305023047511158E-2"/>
                  <c:y val="-8.7074088725523982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1.947991431875468E-2"/>
                  <c:y val="-1.012341595059539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1.0969500321606466E-2"/>
                  <c:y val="-1.878906316699949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2.4419672853723456E-2"/>
                  <c:y val="-1.93346931517655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2.2238372780625966E-2"/>
                  <c:y val="-3.061326328077282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2.005707270752842E-2"/>
                  <c:y val="-7.4879251942008285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7"/>
              <c:layout>
                <c:manualLayout>
                  <c:x val="1.7876094811834529E-2"/>
                  <c:y val="1.5410775552408314E-4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8"/>
              <c:layout>
                <c:manualLayout>
                  <c:x val="2.2023908662787649E-2"/>
                  <c:y val="7.7489168822814862E-5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9"/>
              <c:layout>
                <c:manualLayout>
                  <c:x val="1.9842608589690103E-2"/>
                  <c:y val="-6.430324579090431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0"/>
              <c:layout>
                <c:manualLayout>
                  <c:x val="1.7469996311680482E-2"/>
                  <c:y val="2.8327270240550658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5383">
                <a:noFill/>
              </a:ln>
            </c:spPr>
            <c:txPr>
              <a:bodyPr/>
              <a:lstStyle/>
              <a:p>
                <a:pPr>
                  <a:defRPr sz="600" b="1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Sheet1!$B$1:$L$1</c:f>
              <c:numCache>
                <c:formatCode>General</c:formatCode>
                <c:ptCount val="11"/>
                <c:pt idx="0">
                  <c:v>2003</c:v>
                </c:pt>
                <c:pt idx="1">
                  <c:v>2004</c:v>
                </c:pt>
                <c:pt idx="2">
                  <c:v>2005</c:v>
                </c:pt>
                <c:pt idx="3">
                  <c:v>2006</c:v>
                </c:pt>
                <c:pt idx="4">
                  <c:v>2007</c:v>
                </c:pt>
                <c:pt idx="5">
                  <c:v>2008</c:v>
                </c:pt>
                <c:pt idx="6">
                  <c:v>2009</c:v>
                </c:pt>
                <c:pt idx="7">
                  <c:v>2010</c:v>
                </c:pt>
                <c:pt idx="8">
                  <c:v>2011</c:v>
                </c:pt>
                <c:pt idx="9">
                  <c:v>2012</c:v>
                </c:pt>
                <c:pt idx="10">
                  <c:v>2013</c:v>
                </c:pt>
              </c:numCache>
            </c:numRef>
          </c:cat>
          <c:val>
            <c:numRef>
              <c:f>Sheet1!$B$2:$L$2</c:f>
              <c:numCache>
                <c:formatCode>General</c:formatCode>
                <c:ptCount val="11"/>
                <c:pt idx="0">
                  <c:v>92</c:v>
                </c:pt>
                <c:pt idx="1">
                  <c:v>109</c:v>
                </c:pt>
                <c:pt idx="2">
                  <c:v>69</c:v>
                </c:pt>
                <c:pt idx="3">
                  <c:v>74</c:v>
                </c:pt>
                <c:pt idx="4">
                  <c:v>104</c:v>
                </c:pt>
                <c:pt idx="5">
                  <c:v>105</c:v>
                </c:pt>
                <c:pt idx="6">
                  <c:v>148</c:v>
                </c:pt>
                <c:pt idx="7">
                  <c:v>105</c:v>
                </c:pt>
                <c:pt idx="8">
                  <c:v>121</c:v>
                </c:pt>
                <c:pt idx="9">
                  <c:v>137</c:v>
                </c:pt>
                <c:pt idx="10">
                  <c:v>2397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224225152"/>
        <c:axId val="224226688"/>
        <c:axId val="0"/>
      </c:bar3DChart>
      <c:catAx>
        <c:axId val="22422515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3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99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pl-PL"/>
          </a:p>
        </c:txPr>
        <c:crossAx val="224226688"/>
        <c:crosses val="autoZero"/>
        <c:auto val="1"/>
        <c:lblAlgn val="ctr"/>
        <c:lblOffset val="100"/>
        <c:tickLblSkip val="2"/>
        <c:tickMarkSkip val="1"/>
        <c:noMultiLvlLbl val="0"/>
      </c:catAx>
      <c:valAx>
        <c:axId val="224226688"/>
        <c:scaling>
          <c:orientation val="minMax"/>
        </c:scaling>
        <c:delete val="0"/>
        <c:axPos val="l"/>
        <c:majorGridlines>
          <c:spPr>
            <a:ln w="3173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3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00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pl-PL"/>
          </a:p>
        </c:txPr>
        <c:crossAx val="224225152"/>
        <c:crosses val="autoZero"/>
        <c:crossBetween val="between"/>
      </c:valAx>
      <c:spPr>
        <a:noFill/>
        <a:ln w="25383">
          <a:noFill/>
        </a:ln>
      </c:spPr>
    </c:plotArea>
    <c:plotVisOnly val="1"/>
    <c:dispBlanksAs val="gap"/>
    <c:showDLblsOverMax val="0"/>
  </c:chart>
  <c:spPr>
    <a:noFill/>
    <a:ln w="6350" cap="flat" cmpd="sng" algn="ctr">
      <a:solidFill>
        <a:srgbClr val="000000"/>
      </a:solidFill>
      <a:prstDash val="solid"/>
      <a:miter lim="800000"/>
      <a:headEnd type="none" w="med" len="med"/>
      <a:tailEnd type="none" w="med" len="med"/>
    </a:ln>
  </c:spPr>
  <c:txPr>
    <a:bodyPr/>
    <a:lstStyle/>
    <a:p>
      <a:pPr>
        <a:defRPr sz="899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pl-PL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999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r>
              <a:rPr lang="pl-PL"/>
              <a:t>Ilość wydanych decyzji administracyjnych 
w Referacie Architektury i Budownictwa 
w latach 2003-2013</a:t>
            </a:r>
          </a:p>
        </c:rich>
      </c:tx>
      <c:layout>
        <c:manualLayout>
          <c:xMode val="edge"/>
          <c:yMode val="edge"/>
          <c:x val="0.2748735244519393"/>
          <c:y val="2.0761245674740483E-2"/>
        </c:manualLayout>
      </c:layout>
      <c:overlay val="0"/>
      <c:spPr>
        <a:noFill/>
        <a:ln w="25363">
          <a:noFill/>
        </a:ln>
      </c:spPr>
    </c:title>
    <c:autoTitleDeleted val="0"/>
    <c:view3D>
      <c:rotX val="15"/>
      <c:hPercent val="35"/>
      <c:rotY val="20"/>
      <c:depthPercent val="100"/>
      <c:rAngAx val="1"/>
    </c:view3D>
    <c:floor>
      <c:thickness val="0"/>
      <c:spPr>
        <a:noFill/>
        <a:ln w="3175">
          <a:solidFill>
            <a:srgbClr val="000000"/>
          </a:solidFill>
          <a:prstDash val="solid"/>
        </a:ln>
      </c:spPr>
    </c:floor>
    <c:sideWall>
      <c:thickness val="0"/>
      <c:spPr>
        <a:noFill/>
        <a:ln w="25400">
          <a:noFill/>
        </a:ln>
      </c:spPr>
    </c:sideWall>
    <c:backWall>
      <c:thickness val="0"/>
      <c:spPr>
        <a:noFill/>
        <a:ln w="25400">
          <a:noFill/>
        </a:ln>
      </c:spPr>
    </c:backWall>
    <c:plotArea>
      <c:layout>
        <c:manualLayout>
          <c:layoutTarget val="inner"/>
          <c:xMode val="edge"/>
          <c:yMode val="edge"/>
          <c:x val="5.9021922428330521E-2"/>
          <c:y val="0.26643598615916952"/>
          <c:w val="0.92580101180438445"/>
          <c:h val="0.61937716262975784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Ilość wydanych decyzji administracyjnych</c:v>
                </c:pt>
              </c:strCache>
            </c:strRef>
          </c:tx>
          <c:spPr>
            <a:solidFill>
              <a:srgbClr val="C0C0C0"/>
            </a:solidFill>
            <a:ln w="3170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 val="2.2479721789959616E-2"/>
                  <c:y val="-2.6381139533164246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1.4255371928712877E-2"/>
                  <c:y val="-2.090029255101763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6.0311964256536486E-3"/>
                  <c:y val="-2.931043856866510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1.2983912331691884E-2"/>
                  <c:y val="-3.304932863603989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4.7597368286326274E-3"/>
                  <c:y val="-2.377907386901030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1.1712452734670807E-2"/>
                  <c:y val="-4.762081291525410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1.6979002358087084E-2"/>
                  <c:y val="-8.440140646346532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7"/>
              <c:layout>
                <c:manualLayout>
                  <c:x val="1.0440993137649842E-2"/>
                  <c:y val="-1.60229627979028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8"/>
              <c:layout>
                <c:manualLayout>
                  <c:x val="8.9621801978283528E-3"/>
                  <c:y val="-8.630173526103355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9"/>
              <c:layout>
                <c:manualLayout>
                  <c:x val="1.0855874181438289E-2"/>
                  <c:y val="-1.021692587410136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0"/>
              <c:layout>
                <c:manualLayout>
                  <c:x val="6.0043799599978614E-3"/>
                  <c:y val="-6.7483462815418121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5363">
                <a:noFill/>
              </a:ln>
            </c:spPr>
            <c:txPr>
              <a:bodyPr/>
              <a:lstStyle/>
              <a:p>
                <a:pPr>
                  <a:defRPr sz="699" b="1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Sheet1!$B$1:$L$1</c:f>
              <c:numCache>
                <c:formatCode>General</c:formatCode>
                <c:ptCount val="11"/>
                <c:pt idx="0">
                  <c:v>2003</c:v>
                </c:pt>
                <c:pt idx="1">
                  <c:v>2004</c:v>
                </c:pt>
                <c:pt idx="2">
                  <c:v>2005</c:v>
                </c:pt>
                <c:pt idx="3">
                  <c:v>2006</c:v>
                </c:pt>
                <c:pt idx="4">
                  <c:v>2007</c:v>
                </c:pt>
                <c:pt idx="5">
                  <c:v>2008</c:v>
                </c:pt>
                <c:pt idx="6">
                  <c:v>2009</c:v>
                </c:pt>
                <c:pt idx="7">
                  <c:v>2010</c:v>
                </c:pt>
                <c:pt idx="8">
                  <c:v>2011</c:v>
                </c:pt>
                <c:pt idx="9">
                  <c:v>2012</c:v>
                </c:pt>
                <c:pt idx="10">
                  <c:v>2013</c:v>
                </c:pt>
              </c:numCache>
            </c:numRef>
          </c:cat>
          <c:val>
            <c:numRef>
              <c:f>Sheet1!$B$2:$L$2</c:f>
              <c:numCache>
                <c:formatCode>General</c:formatCode>
                <c:ptCount val="11"/>
                <c:pt idx="0">
                  <c:v>953</c:v>
                </c:pt>
                <c:pt idx="1">
                  <c:v>717</c:v>
                </c:pt>
                <c:pt idx="2">
                  <c:v>776</c:v>
                </c:pt>
                <c:pt idx="3">
                  <c:v>794</c:v>
                </c:pt>
                <c:pt idx="4">
                  <c:v>903</c:v>
                </c:pt>
                <c:pt idx="5">
                  <c:v>953</c:v>
                </c:pt>
                <c:pt idx="6">
                  <c:v>918</c:v>
                </c:pt>
                <c:pt idx="7">
                  <c:v>849</c:v>
                </c:pt>
                <c:pt idx="8">
                  <c:v>893</c:v>
                </c:pt>
                <c:pt idx="9">
                  <c:v>921</c:v>
                </c:pt>
                <c:pt idx="10">
                  <c:v>995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229042816"/>
        <c:axId val="221192576"/>
        <c:axId val="0"/>
      </c:bar3DChart>
      <c:catAx>
        <c:axId val="22904281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99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pl-PL"/>
          </a:p>
        </c:txPr>
        <c:crossAx val="22119257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21192576"/>
        <c:scaling>
          <c:orientation val="minMax"/>
        </c:scaling>
        <c:delete val="0"/>
        <c:axPos val="l"/>
        <c:majorGridlines>
          <c:spPr>
            <a:ln w="3170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699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pl-PL"/>
          </a:p>
        </c:txPr>
        <c:crossAx val="229042816"/>
        <c:crosses val="autoZero"/>
        <c:crossBetween val="between"/>
      </c:valAx>
      <c:spPr>
        <a:noFill/>
        <a:ln w="25363">
          <a:noFill/>
        </a:ln>
      </c:spPr>
    </c:plotArea>
    <c:plotVisOnly val="1"/>
    <c:dispBlanksAs val="gap"/>
    <c:showDLblsOverMax val="0"/>
  </c:chart>
  <c:spPr>
    <a:noFill/>
    <a:ln w="6350" cap="flat" cmpd="sng" algn="ctr">
      <a:solidFill>
        <a:srgbClr val="000000"/>
      </a:solidFill>
      <a:prstDash val="solid"/>
      <a:miter lim="800000"/>
      <a:headEnd type="none" w="med" len="med"/>
      <a:tailEnd type="none" w="med" len="med"/>
    </a:ln>
  </c:spPr>
  <c:txPr>
    <a:bodyPr/>
    <a:lstStyle/>
    <a:p>
      <a:pPr>
        <a:defRPr sz="1198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pl-PL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997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r>
              <a:rPr lang="pl-PL"/>
              <a:t>Ilość wydanych decyzji administracyjnych 
w Referacie Ochrony Środowiska, Gospodarki Wodnej </a:t>
            </a:r>
          </a:p>
          <a:p>
            <a:pPr>
              <a:defRPr sz="997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r>
              <a:rPr lang="pl-PL"/>
              <a:t>i Rolnictwa w latach 2003-2013
</a:t>
            </a:r>
          </a:p>
        </c:rich>
      </c:tx>
      <c:layout>
        <c:manualLayout>
          <c:xMode val="edge"/>
          <c:yMode val="edge"/>
          <c:x val="0.15457413249211358"/>
          <c:y val="2.0338983050847456E-2"/>
        </c:manualLayout>
      </c:layout>
      <c:overlay val="0"/>
      <c:spPr>
        <a:noFill/>
        <a:ln w="25321">
          <a:noFill/>
        </a:ln>
      </c:spPr>
    </c:title>
    <c:autoTitleDeleted val="0"/>
    <c:view3D>
      <c:rotX val="15"/>
      <c:hPercent val="58"/>
      <c:rotY val="20"/>
      <c:depthPercent val="100"/>
      <c:rAngAx val="1"/>
    </c:view3D>
    <c:floor>
      <c:thickness val="0"/>
      <c:spPr>
        <a:noFill/>
        <a:ln w="3175">
          <a:solidFill>
            <a:srgbClr val="000000"/>
          </a:solidFill>
          <a:prstDash val="solid"/>
        </a:ln>
      </c:spPr>
    </c:floor>
    <c:sideWall>
      <c:thickness val="0"/>
      <c:spPr>
        <a:noFill/>
        <a:ln w="25400">
          <a:noFill/>
        </a:ln>
      </c:spPr>
    </c:sideWall>
    <c:backWall>
      <c:thickness val="0"/>
      <c:spPr>
        <a:noFill/>
        <a:ln w="25400">
          <a:noFill/>
        </a:ln>
      </c:spPr>
    </c:backWall>
    <c:plotArea>
      <c:layout>
        <c:manualLayout>
          <c:layoutTarget val="inner"/>
          <c:xMode val="edge"/>
          <c:yMode val="edge"/>
          <c:x val="9.4637223974763401E-2"/>
          <c:y val="0.31187940323249064"/>
          <c:w val="0.87697160883280756"/>
          <c:h val="0.57625638900400611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Ilość wydanych decyzji administracyjnych</c:v>
                </c:pt>
              </c:strCache>
            </c:strRef>
          </c:tx>
          <c:spPr>
            <a:solidFill>
              <a:srgbClr val="C0C0C0"/>
            </a:solidFill>
            <a:ln w="3165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 val="2.2864994503725627E-2"/>
                  <c:y val="3.728889653735230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1.5125895610237449E-2"/>
                  <c:y val="-1.152765973388038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1.0541692500211464E-2"/>
                  <c:y val="-3.15384417268989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9.1117418717074749E-3"/>
                  <c:y val="-1.786088653503507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1.3990939508187729E-2"/>
                  <c:y val="-1.3091165789824921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9.40673639816169E-3"/>
                  <c:y val="-1.65660113181659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2.0595082299626241E-2"/>
                  <c:y val="-2.154174305374904E-4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7"/>
              <c:layout>
                <c:manualLayout>
                  <c:x val="2.5474279936106497E-2"/>
                  <c:y val="-6.2934469832663592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8"/>
              <c:layout>
                <c:manualLayout>
                  <c:x val="2.4044650958572552E-2"/>
                  <c:y val="6.8242055157910248E-4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9"/>
              <c:layout>
                <c:manualLayout>
                  <c:x val="1.9460126197576522E-2"/>
                  <c:y val="2.521833243190737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0"/>
              <c:layout>
                <c:manualLayout>
                  <c:x val="2.1185071352534782E-2"/>
                  <c:y val="-9.2908644559483826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5321">
                <a:noFill/>
              </a:ln>
            </c:spPr>
            <c:txPr>
              <a:bodyPr/>
              <a:lstStyle/>
              <a:p>
                <a:pPr>
                  <a:defRPr sz="598" b="1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Sheet1!$B$1:$L$1</c:f>
              <c:numCache>
                <c:formatCode>General</c:formatCode>
                <c:ptCount val="11"/>
                <c:pt idx="0">
                  <c:v>2003</c:v>
                </c:pt>
                <c:pt idx="1">
                  <c:v>2004</c:v>
                </c:pt>
                <c:pt idx="2">
                  <c:v>2005</c:v>
                </c:pt>
                <c:pt idx="3">
                  <c:v>2006</c:v>
                </c:pt>
                <c:pt idx="4">
                  <c:v>2007</c:v>
                </c:pt>
                <c:pt idx="5">
                  <c:v>2008</c:v>
                </c:pt>
                <c:pt idx="6">
                  <c:v>2009</c:v>
                </c:pt>
                <c:pt idx="7">
                  <c:v>2010</c:v>
                </c:pt>
                <c:pt idx="8">
                  <c:v>2011</c:v>
                </c:pt>
                <c:pt idx="9">
                  <c:v>2012</c:v>
                </c:pt>
                <c:pt idx="10">
                  <c:v>2013</c:v>
                </c:pt>
              </c:numCache>
            </c:numRef>
          </c:cat>
          <c:val>
            <c:numRef>
              <c:f>Sheet1!$B$2:$L$2</c:f>
              <c:numCache>
                <c:formatCode>General</c:formatCode>
                <c:ptCount val="11"/>
                <c:pt idx="0">
                  <c:v>135</c:v>
                </c:pt>
                <c:pt idx="1">
                  <c:v>169</c:v>
                </c:pt>
                <c:pt idx="2">
                  <c:v>181</c:v>
                </c:pt>
                <c:pt idx="3">
                  <c:v>200</c:v>
                </c:pt>
                <c:pt idx="4">
                  <c:v>180</c:v>
                </c:pt>
                <c:pt idx="5">
                  <c:v>214</c:v>
                </c:pt>
                <c:pt idx="6">
                  <c:v>218</c:v>
                </c:pt>
                <c:pt idx="7">
                  <c:v>168</c:v>
                </c:pt>
                <c:pt idx="8">
                  <c:v>212</c:v>
                </c:pt>
                <c:pt idx="9">
                  <c:v>279</c:v>
                </c:pt>
                <c:pt idx="10">
                  <c:v>256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221225728"/>
        <c:axId val="221227264"/>
        <c:axId val="0"/>
      </c:bar3DChart>
      <c:catAx>
        <c:axId val="22122572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6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98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pl-PL"/>
          </a:p>
        </c:txPr>
        <c:crossAx val="221227264"/>
        <c:crosses val="autoZero"/>
        <c:auto val="1"/>
        <c:lblAlgn val="ctr"/>
        <c:lblOffset val="100"/>
        <c:tickLblSkip val="2"/>
        <c:tickMarkSkip val="1"/>
        <c:noMultiLvlLbl val="0"/>
      </c:catAx>
      <c:valAx>
        <c:axId val="221227264"/>
        <c:scaling>
          <c:orientation val="minMax"/>
        </c:scaling>
        <c:delete val="0"/>
        <c:axPos val="l"/>
        <c:majorGridlines>
          <c:spPr>
            <a:ln w="316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6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698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pl-PL"/>
          </a:p>
        </c:txPr>
        <c:crossAx val="221225728"/>
        <c:crosses val="autoZero"/>
        <c:crossBetween val="between"/>
      </c:valAx>
      <c:spPr>
        <a:noFill/>
        <a:ln w="25321">
          <a:noFill/>
        </a:ln>
      </c:spPr>
    </c:plotArea>
    <c:plotVisOnly val="1"/>
    <c:dispBlanksAs val="gap"/>
    <c:showDLblsOverMax val="0"/>
  </c:chart>
  <c:spPr>
    <a:noFill/>
    <a:ln w="6350" cap="flat" cmpd="sng" algn="ctr">
      <a:solidFill>
        <a:srgbClr val="000000"/>
      </a:solidFill>
      <a:prstDash val="solid"/>
      <a:miter lim="800000"/>
      <a:headEnd type="none" w="med" len="med"/>
      <a:tailEnd type="none" w="med" len="med"/>
    </a:ln>
  </c:spPr>
  <c:txPr>
    <a:bodyPr/>
    <a:lstStyle/>
    <a:p>
      <a:pPr>
        <a:defRPr sz="897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pl-PL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998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r>
              <a:rPr lang="pl-PL"/>
              <a:t>Ilość wydanych decyzji administracyjnych 
w Referacie Gospodarki Nieruchomościami 
w okresie II pórocze 2005 - 2013 </a:t>
            </a:r>
          </a:p>
        </c:rich>
      </c:tx>
      <c:layout>
        <c:manualLayout>
          <c:xMode val="edge"/>
          <c:yMode val="edge"/>
          <c:x val="0.17665615141955837"/>
          <c:y val="2.1739130434782608E-2"/>
        </c:manualLayout>
      </c:layout>
      <c:overlay val="0"/>
      <c:spPr>
        <a:noFill/>
        <a:ln w="25351">
          <a:noFill/>
        </a:ln>
      </c:spPr>
    </c:title>
    <c:autoTitleDeleted val="0"/>
    <c:view3D>
      <c:rotX val="15"/>
      <c:hPercent val="37"/>
      <c:rotY val="20"/>
      <c:depthPercent val="100"/>
      <c:rAngAx val="1"/>
    </c:view3D>
    <c:floor>
      <c:thickness val="0"/>
      <c:spPr>
        <a:noFill/>
        <a:ln w="3175">
          <a:solidFill>
            <a:srgbClr val="000000"/>
          </a:solidFill>
          <a:prstDash val="solid"/>
        </a:ln>
      </c:spPr>
    </c:floor>
    <c:sideWall>
      <c:thickness val="0"/>
      <c:spPr>
        <a:noFill/>
        <a:ln w="25400">
          <a:noFill/>
        </a:ln>
      </c:spPr>
    </c:sideWall>
    <c:backWall>
      <c:thickness val="0"/>
      <c:spPr>
        <a:noFill/>
        <a:ln w="25400">
          <a:noFill/>
        </a:ln>
      </c:spPr>
    </c:backWall>
    <c:plotArea>
      <c:layout>
        <c:manualLayout>
          <c:layoutTarget val="inner"/>
          <c:xMode val="edge"/>
          <c:yMode val="edge"/>
          <c:x val="9.4637223974763401E-2"/>
          <c:y val="0.4956521739130435"/>
          <c:w val="0.87381703470031546"/>
          <c:h val="0.36086956521739133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Ilość wydanych decyzji administracyjnych</c:v>
                </c:pt>
              </c:strCache>
            </c:strRef>
          </c:tx>
          <c:spPr>
            <a:solidFill>
              <a:srgbClr val="C0C0C0"/>
            </a:solidFill>
            <a:ln w="3169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 val="1.5482960191389571E-2"/>
                  <c:y val="1.020527926828616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2.0482274357177949E-2"/>
                  <c:y val="-4.100545210957166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1.2863291992997837E-2"/>
                  <c:y val="-6.1155016260013356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8.3985628096496338E-3"/>
                  <c:y val="-6.2520547893977138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1.024330284294586E-2"/>
                  <c:y val="4.1754236398331302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5.7788946112578999E-3"/>
                  <c:y val="-4.4914559970314002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2.3396184355354521E-2"/>
                  <c:y val="6.8206348469501341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7"/>
              <c:layout>
                <c:manualLayout>
                  <c:x val="1.2622627858682262E-2"/>
                  <c:y val="3.1049001862946415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8"/>
              <c:layout>
                <c:manualLayout>
                  <c:x val="1.7621942024470583E-2"/>
                  <c:y val="-9.909366699096824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5351">
                <a:noFill/>
              </a:ln>
            </c:spPr>
            <c:txPr>
              <a:bodyPr/>
              <a:lstStyle/>
              <a:p>
                <a:pPr>
                  <a:defRPr sz="599" b="1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Sheet1!$B$1:$J$1</c:f>
              <c:numCache>
                <c:formatCode>General</c:formatCode>
                <c:ptCount val="9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</c:numCache>
            </c:numRef>
          </c:cat>
          <c:val>
            <c:numRef>
              <c:f>Sheet1!$B$2:$J$2</c:f>
              <c:numCache>
                <c:formatCode>General</c:formatCode>
                <c:ptCount val="9"/>
                <c:pt idx="0">
                  <c:v>32</c:v>
                </c:pt>
                <c:pt idx="1">
                  <c:v>35</c:v>
                </c:pt>
                <c:pt idx="2">
                  <c:v>85</c:v>
                </c:pt>
                <c:pt idx="3">
                  <c:v>62</c:v>
                </c:pt>
                <c:pt idx="4">
                  <c:v>99</c:v>
                </c:pt>
                <c:pt idx="5">
                  <c:v>72</c:v>
                </c:pt>
                <c:pt idx="6">
                  <c:v>35</c:v>
                </c:pt>
                <c:pt idx="7">
                  <c:v>46</c:v>
                </c:pt>
                <c:pt idx="8">
                  <c:v>19</c:v>
                </c:pt>
              </c:numCache>
            </c:numRef>
          </c:val>
        </c:ser>
        <c:ser>
          <c:idx val="1"/>
          <c:order val="1"/>
          <c:tx>
            <c:strRef>
              <c:f>Sheet1!$A$5</c:f>
              <c:strCache>
                <c:ptCount val="1"/>
              </c:strCache>
            </c:strRef>
          </c:tx>
          <c:spPr>
            <a:solidFill>
              <a:srgbClr val="993366"/>
            </a:solidFill>
            <a:ln w="12675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Sheet1!$B$1:$J$1</c:f>
              <c:numCache>
                <c:formatCode>General</c:formatCode>
                <c:ptCount val="9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</c:numCache>
            </c:numRef>
          </c:cat>
          <c:val>
            <c:numRef>
              <c:f>Sheet1!$B$5:$J$5</c:f>
              <c:numCache>
                <c:formatCode>General</c:formatCode>
                <c:ptCount val="9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221429120"/>
        <c:axId val="221430912"/>
        <c:axId val="0"/>
      </c:bar3DChart>
      <c:catAx>
        <c:axId val="22142912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69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98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pl-PL"/>
          </a:p>
        </c:txPr>
        <c:crossAx val="221430912"/>
        <c:crosses val="autoZero"/>
        <c:auto val="1"/>
        <c:lblAlgn val="ctr"/>
        <c:lblOffset val="100"/>
        <c:tickLblSkip val="2"/>
        <c:tickMarkSkip val="1"/>
        <c:noMultiLvlLbl val="0"/>
      </c:catAx>
      <c:valAx>
        <c:axId val="221430912"/>
        <c:scaling>
          <c:orientation val="minMax"/>
        </c:scaling>
        <c:delete val="0"/>
        <c:axPos val="l"/>
        <c:majorGridlines>
          <c:spPr>
            <a:ln w="3169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69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699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pl-PL"/>
          </a:p>
        </c:txPr>
        <c:crossAx val="221429120"/>
        <c:crosses val="autoZero"/>
        <c:crossBetween val="between"/>
      </c:valAx>
      <c:spPr>
        <a:noFill/>
        <a:ln w="25351">
          <a:noFill/>
        </a:ln>
      </c:spPr>
    </c:plotArea>
    <c:plotVisOnly val="1"/>
    <c:dispBlanksAs val="gap"/>
    <c:showDLblsOverMax val="0"/>
  </c:chart>
  <c:spPr>
    <a:noFill/>
    <a:ln w="6350" cap="flat" cmpd="sng" algn="ctr">
      <a:solidFill>
        <a:srgbClr val="000000"/>
      </a:solidFill>
      <a:prstDash val="solid"/>
      <a:miter lim="800000"/>
      <a:headEnd type="none" w="med" len="med"/>
      <a:tailEnd type="none" w="med" len="med"/>
    </a:ln>
  </c:spPr>
  <c:txPr>
    <a:bodyPr/>
    <a:lstStyle/>
    <a:p>
      <a:pPr>
        <a:defRPr sz="898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pl-PL"/>
    </a:p>
  </c:txPr>
  <c:externalData r:id="rId1">
    <c:autoUpdate val="0"/>
  </c:externalData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0.498</cdr:x>
      <cdr:y>0.501</cdr:y>
    </cdr:from>
    <cdr:to>
      <cdr:x>0.503</cdr:x>
      <cdr:y>0.586</cdr:y>
    </cdr:to>
    <cdr:sp macro="" textlink="">
      <cdr:nvSpPr>
        <cdr:cNvPr id="1025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2808122" y="1011669"/>
          <a:ext cx="28194" cy="171641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ffectLst xmlns:a="http://schemas.openxmlformats.org/drawingml/2006/main"/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xmlns:mc="http://schemas.openxmlformats.org/markup-compatibility/2006" val="000000" mc:Ignorable="a14" a14:legacySpreadsheetColorIndex="64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xmlns:mc="http://schemas.openxmlformats.org/markup-compatibility/2006" val="FFFFFF" mc:Ignorable="a14" a14:legacySpreadsheetColorIndex="65"/>
              </a:solidFill>
              <a:miter lim="800000"/>
              <a:headEnd/>
              <a:tailEnd/>
            </a14:hiddenLine>
          </a:ex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rgbClr val="808080"/>
                </a:outerShdw>
              </a:effectLst>
            </a14:hiddenEffects>
          </a:ext>
        </a:extLst>
      </cdr:spPr>
      <cdr:txBody>
        <a:bodyPr xmlns:a="http://schemas.openxmlformats.org/drawingml/2006/main" wrap="none" lIns="18288" tIns="22860" rIns="18288" bIns="22860" anchor="ctr" upright="1">
          <a:spAutoFit/>
        </a:bodyPr>
        <a:lstStyle xmlns:a="http://schemas.openxmlformats.org/drawingml/2006/main"/>
        <a:p xmlns:a="http://schemas.openxmlformats.org/drawingml/2006/main">
          <a:pPr algn="ctr" rtl="0">
            <a:defRPr sz="1000"/>
          </a:pPr>
          <a:r>
            <a:rPr lang="pl-PL" sz="800" b="1" i="0" u="none" strike="noStrike" baseline="0">
              <a:solidFill>
                <a:srgbClr val="000000"/>
              </a:solidFill>
              <a:latin typeface="Arial"/>
              <a:cs typeface="Arial"/>
            </a:rPr>
            <a:t> </a:t>
          </a:r>
          <a:endParaRPr lang="pl-PL"/>
        </a:p>
      </cdr:txBody>
    </cdr:sp>
  </cdr:relSizeAnchor>
  <cdr:relSizeAnchor xmlns:cdr="http://schemas.openxmlformats.org/drawingml/2006/chartDrawing">
    <cdr:from>
      <cdr:x>0.499</cdr:x>
      <cdr:y>0.49775</cdr:y>
    </cdr:from>
    <cdr:to>
      <cdr:x>0.50575</cdr:x>
      <cdr:y>0.578</cdr:y>
    </cdr:to>
    <cdr:sp macro="" textlink="">
      <cdr:nvSpPr>
        <cdr:cNvPr id="1026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2813761" y="1005107"/>
          <a:ext cx="38062" cy="162048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ffectLst xmlns:a="http://schemas.openxmlformats.org/drawingml/2006/main"/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xmlns:mc="http://schemas.openxmlformats.org/markup-compatibility/2006" val="000000" mc:Ignorable="a14" a14:legacySpreadsheetColorIndex="64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xmlns:mc="http://schemas.openxmlformats.org/markup-compatibility/2006" val="FFFFFF" mc:Ignorable="a14" a14:legacySpreadsheetColorIndex="65"/>
              </a:solidFill>
              <a:miter lim="800000"/>
              <a:headEnd/>
              <a:tailEnd/>
            </a14:hiddenLine>
          </a:ex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rgbClr val="808080"/>
                </a:outerShdw>
              </a:effectLst>
            </a14:hiddenEffects>
          </a:ext>
        </a:extLst>
      </cdr:spPr>
      <cdr:txBody>
        <a:bodyPr xmlns:a="http://schemas.openxmlformats.org/drawingml/2006/main" wrap="none" lIns="18288" tIns="0" rIns="0" bIns="0" anchor="ctr" upright="1">
          <a:spAutoFit/>
        </a:bodyPr>
        <a:lstStyle xmlns:a="http://schemas.openxmlformats.org/drawingml/2006/main"/>
        <a:p xmlns:a="http://schemas.openxmlformats.org/drawingml/2006/main">
          <a:pPr algn="ctr" rtl="0">
            <a:defRPr sz="1000"/>
          </a:pPr>
          <a:endParaRPr lang="pl-PL"/>
        </a:p>
      </cdr:txBody>
    </cdr:sp>
  </cdr:relSizeAnchor>
</c:userShape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1610BC-3B7D-4359-B36A-144109FAE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259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 Świerk-Bara</dc:creator>
  <cp:lastModifiedBy>Karolina.Kunicka</cp:lastModifiedBy>
  <cp:revision>2</cp:revision>
  <cp:lastPrinted>2014-02-28T08:10:00Z</cp:lastPrinted>
  <dcterms:created xsi:type="dcterms:W3CDTF">2014-03-03T12:48:00Z</dcterms:created>
  <dcterms:modified xsi:type="dcterms:W3CDTF">2014-03-03T12:48:00Z</dcterms:modified>
</cp:coreProperties>
</file>